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szCs w:val="21"/>
        </w:rPr>
      </w:pPr>
      <w:bookmarkStart w:id="0" w:name="_Toc15306267"/>
    </w:p>
    <w:p>
      <w:pPr>
        <w:pStyle w:val="7"/>
        <w:spacing w:before="93"/>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425"/>
      <w:bookmarkStart w:id="3" w:name="_Toc15377193"/>
      <w:bookmarkStart w:id="4" w:name="_Toc15378441"/>
      <w:bookmarkStart w:id="5" w:name="_Toc15396475"/>
      <w:bookmarkStart w:id="6" w:name="_Toc25810"/>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78442"/>
      <w:bookmarkStart w:id="8" w:name="_Toc6837"/>
      <w:bookmarkStart w:id="9" w:name="_Toc15396476"/>
      <w:bookmarkStart w:id="10" w:name="_Toc15377194"/>
      <w:bookmarkStart w:id="11" w:name="_Toc15377426"/>
      <w:bookmarkStart w:id="12" w:name="_Toc15396598"/>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lang w:eastAsia="zh-CN"/>
        </w:rPr>
        <w:t>乐山市知识产权服务促进中心</w:t>
      </w:r>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2"/>
      <w:bookmarkEnd w:id="13"/>
    </w:p>
    <w:p>
      <w:pPr>
        <w:widowControl/>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sdt>
      <w:sdtPr>
        <w:rPr>
          <w:rFonts w:hint="eastAsia" w:ascii="黑体" w:hAnsi="黑体" w:eastAsia="黑体" w:cs="Times New Roman"/>
          <w:sz w:val="48"/>
          <w:szCs w:val="48"/>
          <w:lang w:val="en-US" w:eastAsia="zh-CN"/>
        </w:rPr>
        <w:id w:val="147454612"/>
        <w15:color w:val="DBDBDB"/>
        <w:docPartObj>
          <w:docPartGallery w:val="Table of Contents"/>
          <w:docPartUnique/>
        </w:docPartObj>
      </w:sdtPr>
      <w:sdtEndPr>
        <w:rPr>
          <w:rFonts w:hint="eastAsia" w:ascii="Times New Roman" w:hAnsi="Times New Roman" w:eastAsia="黑体" w:cs="Times New Roman"/>
          <w:sz w:val="24"/>
          <w:szCs w:val="48"/>
          <w:lang w:val="en-US" w:eastAsia="zh-CN"/>
        </w:rPr>
      </w:sdtEndPr>
      <w:sdtContent>
        <w:p>
          <w:pPr>
            <w:widowControl/>
            <w:jc w:val="center"/>
            <w:rPr>
              <w:rFonts w:ascii="黑体" w:hAnsi="黑体" w:eastAsia="黑体" w:cstheme="minorBidi"/>
              <w:sz w:val="28"/>
              <w:szCs w:val="28"/>
            </w:rPr>
          </w:pPr>
          <w:r>
            <w:rPr>
              <w:rFonts w:hint="eastAsia" w:ascii="黑体" w:hAnsi="黑体" w:eastAsia="黑体" w:cs="Times New Roman"/>
              <w:sz w:val="48"/>
              <w:szCs w:val="48"/>
            </w:rPr>
            <w:t>目录</w:t>
          </w:r>
        </w:p>
        <w:p>
          <w:pPr>
            <w:pStyle w:val="12"/>
            <w:rPr>
              <w:rFonts w:hint="eastAsia"/>
            </w:rPr>
          </w:pPr>
          <w:r>
            <w:rPr>
              <w:rFonts w:hint="eastAsia"/>
              <w:color w:val="C00000"/>
            </w:rPr>
            <w:t>公开时间：2023年</w:t>
          </w:r>
          <w:r>
            <w:rPr>
              <w:rFonts w:hint="eastAsia"/>
              <w:color w:val="C00000"/>
              <w:lang w:val="en-US" w:eastAsia="zh-CN"/>
            </w:rPr>
            <w:t>10</w:t>
          </w:r>
          <w:r>
            <w:rPr>
              <w:rFonts w:hint="eastAsia"/>
              <w:color w:val="C00000"/>
            </w:rPr>
            <w:t>月</w:t>
          </w:r>
          <w:r>
            <w:rPr>
              <w:rFonts w:hint="eastAsia"/>
              <w:color w:val="C00000"/>
              <w:lang w:val="en-US" w:eastAsia="zh-CN"/>
            </w:rPr>
            <w:t>8</w:t>
          </w:r>
          <w:r>
            <w:rPr>
              <w:rFonts w:hint="eastAsia"/>
              <w:color w:val="C00000"/>
            </w:rPr>
            <w:t>日</w:t>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TOC \o "1-2" \h \u </w:instrText>
          </w:r>
          <w:r>
            <w:rPr>
              <w:rFonts w:hint="eastAsia" w:ascii="Times New Roman" w:hAnsi="Times New Roman" w:cs="Times New Roman"/>
              <w:sz w:val="24"/>
            </w:rPr>
            <w:fldChar w:fldCharType="separate"/>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_Toc6250 </w:instrText>
          </w:r>
          <w:r>
            <w:rPr>
              <w:rFonts w:hint="eastAsia" w:ascii="Times New Roman" w:hAnsi="Times New Roman" w:cs="Times New Roman"/>
              <w:sz w:val="24"/>
            </w:rPr>
            <w:fldChar w:fldCharType="separate"/>
          </w:r>
          <w:r>
            <w:rPr>
              <w:rFonts w:hint="eastAsia" w:ascii="Times New Roman" w:hAnsi="Times New Roman" w:cs="Times New Roman"/>
              <w:sz w:val="24"/>
            </w:rPr>
            <w:t>第一部分 单位概况</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_Toc6250 </w:instrText>
          </w:r>
          <w:r>
            <w:rPr>
              <w:rFonts w:hint="eastAsia" w:ascii="Times New Roman" w:hAnsi="Times New Roman" w:cs="Times New Roman"/>
              <w:sz w:val="24"/>
            </w:rPr>
            <w:fldChar w:fldCharType="separate"/>
          </w:r>
          <w:r>
            <w:rPr>
              <w:rFonts w:hint="eastAsia" w:ascii="Times New Roman" w:hAnsi="Times New Roman" w:cs="Times New Roman"/>
              <w:sz w:val="24"/>
            </w:rPr>
            <w:t>1</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_Toc5982 </w:instrText>
          </w:r>
          <w:r>
            <w:rPr>
              <w:rFonts w:hint="eastAsia" w:ascii="Times New Roman" w:hAnsi="Times New Roman" w:cs="Times New Roman"/>
              <w:sz w:val="24"/>
            </w:rPr>
            <w:fldChar w:fldCharType="separate"/>
          </w:r>
          <w:r>
            <w:rPr>
              <w:rFonts w:hint="eastAsia" w:ascii="Times New Roman" w:hAnsi="Times New Roman" w:cs="Times New Roman"/>
              <w:sz w:val="24"/>
            </w:rPr>
            <w:t>一、 主要职责</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_Toc5982 </w:instrText>
          </w:r>
          <w:r>
            <w:rPr>
              <w:rFonts w:hint="eastAsia" w:ascii="Times New Roman" w:hAnsi="Times New Roman" w:cs="Times New Roman"/>
              <w:sz w:val="24"/>
            </w:rPr>
            <w:fldChar w:fldCharType="separate"/>
          </w:r>
          <w:r>
            <w:rPr>
              <w:rFonts w:hint="eastAsia" w:ascii="Times New Roman" w:hAnsi="Times New Roman" w:cs="Times New Roman"/>
              <w:sz w:val="24"/>
            </w:rPr>
            <w:t>1</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_Toc28608 </w:instrText>
          </w:r>
          <w:r>
            <w:rPr>
              <w:rFonts w:hint="eastAsia" w:ascii="Times New Roman" w:hAnsi="Times New Roman" w:cs="Times New Roman"/>
              <w:sz w:val="24"/>
            </w:rPr>
            <w:fldChar w:fldCharType="separate"/>
          </w:r>
          <w:r>
            <w:rPr>
              <w:rFonts w:hint="eastAsia" w:ascii="Times New Roman" w:hAnsi="Times New Roman" w:cs="Times New Roman"/>
              <w:sz w:val="24"/>
              <w:lang w:val="en-US" w:eastAsia="zh-CN"/>
            </w:rPr>
            <w:t xml:space="preserve">二、 </w:t>
          </w:r>
          <w:r>
            <w:rPr>
              <w:rFonts w:hint="eastAsia" w:ascii="Times New Roman" w:hAnsi="Times New Roman" w:cs="Times New Roman"/>
              <w:sz w:val="24"/>
            </w:rPr>
            <w:t>机构设置</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_Toc28608 </w:instrText>
          </w:r>
          <w:r>
            <w:rPr>
              <w:rFonts w:hint="eastAsia" w:ascii="Times New Roman" w:hAnsi="Times New Roman" w:cs="Times New Roman"/>
              <w:sz w:val="24"/>
            </w:rPr>
            <w:fldChar w:fldCharType="separate"/>
          </w:r>
          <w:r>
            <w:rPr>
              <w:rFonts w:hint="eastAsia" w:ascii="Times New Roman" w:hAnsi="Times New Roman" w:cs="Times New Roman"/>
              <w:sz w:val="24"/>
            </w:rPr>
            <w:t>1</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_Toc28303 </w:instrText>
          </w:r>
          <w:r>
            <w:rPr>
              <w:rFonts w:hint="eastAsia" w:ascii="Times New Roman" w:hAnsi="Times New Roman" w:cs="Times New Roman"/>
              <w:sz w:val="24"/>
            </w:rPr>
            <w:fldChar w:fldCharType="separate"/>
          </w:r>
          <w:r>
            <w:rPr>
              <w:rFonts w:hint="eastAsia" w:ascii="Times New Roman" w:hAnsi="Times New Roman" w:cs="Times New Roman"/>
              <w:sz w:val="24"/>
            </w:rPr>
            <w:t>第二部分 2023年度单位决算情况说明</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_Toc28303 </w:instrText>
          </w:r>
          <w:r>
            <w:rPr>
              <w:rFonts w:hint="eastAsia" w:ascii="Times New Roman" w:hAnsi="Times New Roman" w:cs="Times New Roman"/>
              <w:sz w:val="24"/>
            </w:rPr>
            <w:fldChar w:fldCharType="separate"/>
          </w:r>
          <w:r>
            <w:rPr>
              <w:rFonts w:hint="eastAsia" w:ascii="Times New Roman" w:hAnsi="Times New Roman" w:cs="Times New Roman"/>
              <w:sz w:val="24"/>
            </w:rPr>
            <w:t>2</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_Toc817 </w:instrText>
          </w:r>
          <w:r>
            <w:rPr>
              <w:rFonts w:hint="eastAsia" w:ascii="Times New Roman" w:hAnsi="Times New Roman" w:cs="Times New Roman"/>
              <w:sz w:val="24"/>
            </w:rPr>
            <w:fldChar w:fldCharType="separate"/>
          </w:r>
          <w:r>
            <w:rPr>
              <w:rFonts w:hint="default" w:ascii="Times New Roman" w:hAnsi="Times New Roman" w:cs="Times New Roman"/>
              <w:sz w:val="24"/>
            </w:rPr>
            <w:t xml:space="preserve">一、 </w:t>
          </w:r>
          <w:r>
            <w:rPr>
              <w:rFonts w:hint="eastAsia" w:ascii="Times New Roman" w:hAnsi="Times New Roman" w:cs="Times New Roman"/>
              <w:sz w:val="24"/>
            </w:rPr>
            <w:t>收入支出决算总体情况说明</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_Toc817 </w:instrText>
          </w:r>
          <w:r>
            <w:rPr>
              <w:rFonts w:hint="eastAsia" w:ascii="Times New Roman" w:hAnsi="Times New Roman" w:cs="Times New Roman"/>
              <w:sz w:val="24"/>
            </w:rPr>
            <w:fldChar w:fldCharType="separate"/>
          </w:r>
          <w:r>
            <w:rPr>
              <w:rFonts w:hint="eastAsia" w:ascii="Times New Roman" w:hAnsi="Times New Roman" w:cs="Times New Roman"/>
              <w:sz w:val="24"/>
            </w:rPr>
            <w:t>2</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_Toc5481 </w:instrText>
          </w:r>
          <w:r>
            <w:rPr>
              <w:rFonts w:hint="eastAsia" w:ascii="Times New Roman" w:hAnsi="Times New Roman" w:cs="Times New Roman"/>
              <w:sz w:val="24"/>
            </w:rPr>
            <w:fldChar w:fldCharType="separate"/>
          </w:r>
          <w:r>
            <w:rPr>
              <w:rFonts w:hint="default" w:ascii="Times New Roman" w:hAnsi="Times New Roman" w:cs="Times New Roman"/>
              <w:sz w:val="24"/>
            </w:rPr>
            <w:t xml:space="preserve">二、 </w:t>
          </w:r>
          <w:r>
            <w:rPr>
              <w:rFonts w:hint="eastAsia" w:ascii="Times New Roman" w:hAnsi="Times New Roman" w:cs="Times New Roman"/>
              <w:sz w:val="24"/>
            </w:rPr>
            <w:t>收入决算情况说明</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_Toc5481 </w:instrText>
          </w:r>
          <w:r>
            <w:rPr>
              <w:rFonts w:hint="eastAsia" w:ascii="Times New Roman" w:hAnsi="Times New Roman" w:cs="Times New Roman"/>
              <w:sz w:val="24"/>
            </w:rPr>
            <w:fldChar w:fldCharType="separate"/>
          </w:r>
          <w:r>
            <w:rPr>
              <w:rFonts w:hint="eastAsia" w:ascii="Times New Roman" w:hAnsi="Times New Roman" w:cs="Times New Roman"/>
              <w:sz w:val="24"/>
            </w:rPr>
            <w:t>2</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_Toc16625 </w:instrText>
          </w:r>
          <w:r>
            <w:rPr>
              <w:rFonts w:hint="eastAsia" w:ascii="Times New Roman" w:hAnsi="Times New Roman" w:cs="Times New Roman"/>
              <w:sz w:val="24"/>
            </w:rPr>
            <w:fldChar w:fldCharType="separate"/>
          </w:r>
          <w:r>
            <w:rPr>
              <w:rFonts w:hint="default" w:ascii="Times New Roman" w:hAnsi="Times New Roman" w:cs="Times New Roman"/>
              <w:sz w:val="24"/>
            </w:rPr>
            <w:t xml:space="preserve">三、 </w:t>
          </w:r>
          <w:r>
            <w:rPr>
              <w:rFonts w:hint="eastAsia" w:ascii="Times New Roman" w:hAnsi="Times New Roman" w:cs="Times New Roman"/>
              <w:sz w:val="24"/>
            </w:rPr>
            <w:t>支出决算情况说明</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_Toc16625 </w:instrText>
          </w:r>
          <w:r>
            <w:rPr>
              <w:rFonts w:hint="eastAsia" w:ascii="Times New Roman" w:hAnsi="Times New Roman" w:cs="Times New Roman"/>
              <w:sz w:val="24"/>
            </w:rPr>
            <w:fldChar w:fldCharType="separate"/>
          </w:r>
          <w:r>
            <w:rPr>
              <w:rFonts w:hint="eastAsia" w:ascii="Times New Roman" w:hAnsi="Times New Roman" w:cs="Times New Roman"/>
              <w:sz w:val="24"/>
            </w:rPr>
            <w:t>3</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_Toc27450 </w:instrText>
          </w:r>
          <w:r>
            <w:rPr>
              <w:rFonts w:hint="eastAsia" w:ascii="Times New Roman" w:hAnsi="Times New Roman" w:cs="Times New Roman"/>
              <w:sz w:val="24"/>
            </w:rPr>
            <w:fldChar w:fldCharType="separate"/>
          </w:r>
          <w:r>
            <w:rPr>
              <w:rFonts w:hint="eastAsia" w:ascii="Times New Roman" w:hAnsi="Times New Roman" w:cs="Times New Roman"/>
              <w:sz w:val="24"/>
            </w:rPr>
            <w:t>四、财政拨款收入支出决算总体情况说明</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_Toc27450 </w:instrText>
          </w:r>
          <w:r>
            <w:rPr>
              <w:rFonts w:hint="eastAsia" w:ascii="Times New Roman" w:hAnsi="Times New Roman" w:cs="Times New Roman"/>
              <w:sz w:val="24"/>
            </w:rPr>
            <w:fldChar w:fldCharType="separate"/>
          </w:r>
          <w:r>
            <w:rPr>
              <w:rFonts w:hint="eastAsia" w:ascii="Times New Roman" w:hAnsi="Times New Roman" w:cs="Times New Roman"/>
              <w:sz w:val="24"/>
            </w:rPr>
            <w:t>4</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_Toc966 </w:instrText>
          </w:r>
          <w:r>
            <w:rPr>
              <w:rFonts w:hint="eastAsia" w:ascii="Times New Roman" w:hAnsi="Times New Roman" w:cs="Times New Roman"/>
              <w:sz w:val="24"/>
            </w:rPr>
            <w:fldChar w:fldCharType="separate"/>
          </w:r>
          <w:r>
            <w:rPr>
              <w:rFonts w:hint="eastAsia" w:ascii="Times New Roman" w:hAnsi="Times New Roman" w:cs="Times New Roman"/>
              <w:sz w:val="24"/>
            </w:rPr>
            <w:t>五、一般公共预算财政拨款支出决算情况说明</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_Toc966 </w:instrText>
          </w:r>
          <w:r>
            <w:rPr>
              <w:rFonts w:hint="eastAsia" w:ascii="Times New Roman" w:hAnsi="Times New Roman" w:cs="Times New Roman"/>
              <w:sz w:val="24"/>
            </w:rPr>
            <w:fldChar w:fldCharType="separate"/>
          </w:r>
          <w:r>
            <w:rPr>
              <w:rFonts w:hint="eastAsia" w:ascii="Times New Roman" w:hAnsi="Times New Roman" w:cs="Times New Roman"/>
              <w:sz w:val="24"/>
            </w:rPr>
            <w:t>5</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_Toc28949 </w:instrText>
          </w:r>
          <w:r>
            <w:rPr>
              <w:rFonts w:hint="eastAsia" w:ascii="Times New Roman" w:hAnsi="Times New Roman" w:cs="Times New Roman"/>
              <w:sz w:val="24"/>
            </w:rPr>
            <w:fldChar w:fldCharType="separate"/>
          </w:r>
          <w:r>
            <w:rPr>
              <w:rFonts w:hint="eastAsia" w:ascii="Times New Roman" w:hAnsi="Times New Roman" w:cs="Times New Roman"/>
              <w:sz w:val="24"/>
            </w:rPr>
            <w:t>六、一般公共预算财政拨款基本支出决算情况说明</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_Toc28949 </w:instrText>
          </w:r>
          <w:r>
            <w:rPr>
              <w:rFonts w:hint="eastAsia" w:ascii="Times New Roman" w:hAnsi="Times New Roman" w:cs="Times New Roman"/>
              <w:sz w:val="24"/>
            </w:rPr>
            <w:fldChar w:fldCharType="separate"/>
          </w:r>
          <w:r>
            <w:rPr>
              <w:rFonts w:hint="eastAsia" w:ascii="Times New Roman" w:hAnsi="Times New Roman" w:cs="Times New Roman"/>
              <w:sz w:val="24"/>
            </w:rPr>
            <w:t>8</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_Toc14208 </w:instrText>
          </w:r>
          <w:r>
            <w:rPr>
              <w:rFonts w:hint="eastAsia" w:ascii="Times New Roman" w:hAnsi="Times New Roman" w:cs="Times New Roman"/>
              <w:sz w:val="24"/>
            </w:rPr>
            <w:fldChar w:fldCharType="separate"/>
          </w:r>
          <w:r>
            <w:rPr>
              <w:rFonts w:hint="eastAsia" w:ascii="Times New Roman" w:hAnsi="Times New Roman" w:cs="Times New Roman"/>
              <w:sz w:val="24"/>
            </w:rPr>
            <w:t>七、财政拨款“三公”经费支出决算情况说明</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_Toc14208 </w:instrText>
          </w:r>
          <w:r>
            <w:rPr>
              <w:rFonts w:hint="eastAsia" w:ascii="Times New Roman" w:hAnsi="Times New Roman" w:cs="Times New Roman"/>
              <w:sz w:val="24"/>
            </w:rPr>
            <w:fldChar w:fldCharType="separate"/>
          </w:r>
          <w:r>
            <w:rPr>
              <w:rFonts w:hint="eastAsia" w:ascii="Times New Roman" w:hAnsi="Times New Roman" w:cs="Times New Roman"/>
              <w:sz w:val="24"/>
            </w:rPr>
            <w:t>8</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_Toc24490 </w:instrText>
          </w:r>
          <w:r>
            <w:rPr>
              <w:rFonts w:hint="eastAsia" w:ascii="Times New Roman" w:hAnsi="Times New Roman" w:cs="Times New Roman"/>
              <w:sz w:val="24"/>
            </w:rPr>
            <w:fldChar w:fldCharType="separate"/>
          </w:r>
          <w:r>
            <w:rPr>
              <w:rFonts w:hint="eastAsia" w:ascii="Times New Roman" w:hAnsi="Times New Roman" w:cs="Times New Roman"/>
              <w:sz w:val="24"/>
            </w:rPr>
            <w:t>八、政府性基金预算支出决算情况说明</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_Toc24490 </w:instrText>
          </w:r>
          <w:r>
            <w:rPr>
              <w:rFonts w:hint="eastAsia" w:ascii="Times New Roman" w:hAnsi="Times New Roman" w:cs="Times New Roman"/>
              <w:sz w:val="24"/>
            </w:rPr>
            <w:fldChar w:fldCharType="separate"/>
          </w:r>
          <w:r>
            <w:rPr>
              <w:rFonts w:hint="eastAsia" w:ascii="Times New Roman" w:hAnsi="Times New Roman" w:cs="Times New Roman"/>
              <w:sz w:val="24"/>
            </w:rPr>
            <w:t>11</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_Toc16794 </w:instrText>
          </w:r>
          <w:r>
            <w:rPr>
              <w:rFonts w:hint="eastAsia" w:ascii="Times New Roman" w:hAnsi="Times New Roman" w:cs="Times New Roman"/>
              <w:sz w:val="24"/>
            </w:rPr>
            <w:fldChar w:fldCharType="separate"/>
          </w:r>
          <w:r>
            <w:rPr>
              <w:rFonts w:hint="eastAsia" w:ascii="Times New Roman" w:hAnsi="Times New Roman" w:cs="Times New Roman"/>
              <w:sz w:val="24"/>
            </w:rPr>
            <w:t>九、 国有资本经营预算支出决算情况说明</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_Toc16794 </w:instrText>
          </w:r>
          <w:r>
            <w:rPr>
              <w:rFonts w:hint="eastAsia" w:ascii="Times New Roman" w:hAnsi="Times New Roman" w:cs="Times New Roman"/>
              <w:sz w:val="24"/>
            </w:rPr>
            <w:fldChar w:fldCharType="separate"/>
          </w:r>
          <w:r>
            <w:rPr>
              <w:rFonts w:hint="eastAsia" w:ascii="Times New Roman" w:hAnsi="Times New Roman" w:cs="Times New Roman"/>
              <w:sz w:val="24"/>
            </w:rPr>
            <w:t>11</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_Toc26225 </w:instrText>
          </w:r>
          <w:r>
            <w:rPr>
              <w:rFonts w:hint="eastAsia" w:ascii="Times New Roman" w:hAnsi="Times New Roman" w:cs="Times New Roman"/>
              <w:sz w:val="24"/>
            </w:rPr>
            <w:fldChar w:fldCharType="separate"/>
          </w:r>
          <w:r>
            <w:rPr>
              <w:rFonts w:hint="eastAsia" w:ascii="Times New Roman" w:hAnsi="Times New Roman" w:cs="Times New Roman"/>
              <w:sz w:val="24"/>
            </w:rPr>
            <w:t>十、 其他重要事项的情况说明</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_Toc26225 </w:instrText>
          </w:r>
          <w:r>
            <w:rPr>
              <w:rFonts w:hint="eastAsia" w:ascii="Times New Roman" w:hAnsi="Times New Roman" w:cs="Times New Roman"/>
              <w:sz w:val="24"/>
            </w:rPr>
            <w:fldChar w:fldCharType="separate"/>
          </w:r>
          <w:r>
            <w:rPr>
              <w:rFonts w:hint="eastAsia" w:ascii="Times New Roman" w:hAnsi="Times New Roman" w:cs="Times New Roman"/>
              <w:sz w:val="24"/>
            </w:rPr>
            <w:t>11</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_Toc18984 </w:instrText>
          </w:r>
          <w:r>
            <w:rPr>
              <w:rFonts w:hint="eastAsia" w:ascii="Times New Roman" w:hAnsi="Times New Roman" w:cs="Times New Roman"/>
              <w:sz w:val="24"/>
            </w:rPr>
            <w:fldChar w:fldCharType="separate"/>
          </w:r>
          <w:r>
            <w:rPr>
              <w:rFonts w:hint="eastAsia" w:ascii="Times New Roman" w:hAnsi="Times New Roman" w:cs="Times New Roman"/>
              <w:sz w:val="24"/>
            </w:rPr>
            <w:t>第三部分 名词解释</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_Toc18984 </w:instrText>
          </w:r>
          <w:r>
            <w:rPr>
              <w:rFonts w:hint="eastAsia" w:ascii="Times New Roman" w:hAnsi="Times New Roman" w:cs="Times New Roman"/>
              <w:sz w:val="24"/>
            </w:rPr>
            <w:fldChar w:fldCharType="separate"/>
          </w:r>
          <w:r>
            <w:rPr>
              <w:rFonts w:hint="eastAsia" w:ascii="Times New Roman" w:hAnsi="Times New Roman" w:cs="Times New Roman"/>
              <w:sz w:val="24"/>
            </w:rPr>
            <w:t>13</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_Toc20927 </w:instrText>
          </w:r>
          <w:r>
            <w:rPr>
              <w:rFonts w:hint="eastAsia" w:ascii="Times New Roman" w:hAnsi="Times New Roman" w:cs="Times New Roman"/>
              <w:sz w:val="24"/>
            </w:rPr>
            <w:fldChar w:fldCharType="separate"/>
          </w:r>
          <w:r>
            <w:rPr>
              <w:rFonts w:hint="eastAsia" w:ascii="Times New Roman" w:hAnsi="Times New Roman" w:cs="Times New Roman"/>
              <w:sz w:val="24"/>
            </w:rPr>
            <w:t>第四部分 附件</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_Toc20927 </w:instrText>
          </w:r>
          <w:r>
            <w:rPr>
              <w:rFonts w:hint="eastAsia" w:ascii="Times New Roman" w:hAnsi="Times New Roman" w:cs="Times New Roman"/>
              <w:sz w:val="24"/>
            </w:rPr>
            <w:fldChar w:fldCharType="separate"/>
          </w:r>
          <w:r>
            <w:rPr>
              <w:rFonts w:hint="eastAsia" w:ascii="Times New Roman" w:hAnsi="Times New Roman" w:cs="Times New Roman"/>
              <w:sz w:val="24"/>
            </w:rPr>
            <w:t>16</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_Toc26226 </w:instrText>
          </w:r>
          <w:r>
            <w:rPr>
              <w:rFonts w:hint="eastAsia" w:ascii="Times New Roman" w:hAnsi="Times New Roman" w:cs="Times New Roman"/>
              <w:sz w:val="24"/>
            </w:rPr>
            <w:fldChar w:fldCharType="separate"/>
          </w:r>
          <w:r>
            <w:rPr>
              <w:rFonts w:hint="eastAsia" w:ascii="Times New Roman" w:hAnsi="Times New Roman" w:cs="Times New Roman"/>
              <w:sz w:val="24"/>
            </w:rPr>
            <w:t>部门预算项目支出绩效自评表（2023年度）</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_Toc26226 </w:instrText>
          </w:r>
          <w:r>
            <w:rPr>
              <w:rFonts w:hint="eastAsia" w:ascii="Times New Roman" w:hAnsi="Times New Roman" w:cs="Times New Roman"/>
              <w:sz w:val="24"/>
            </w:rPr>
            <w:fldChar w:fldCharType="separate"/>
          </w:r>
          <w:r>
            <w:rPr>
              <w:rFonts w:hint="eastAsia" w:ascii="Times New Roman" w:hAnsi="Times New Roman" w:cs="Times New Roman"/>
              <w:sz w:val="24"/>
            </w:rPr>
            <w:t>16</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_Toc6880 </w:instrText>
          </w:r>
          <w:r>
            <w:rPr>
              <w:rFonts w:hint="eastAsia" w:ascii="Times New Roman" w:hAnsi="Times New Roman" w:cs="Times New Roman"/>
              <w:sz w:val="24"/>
            </w:rPr>
            <w:fldChar w:fldCharType="separate"/>
          </w:r>
          <w:r>
            <w:rPr>
              <w:rFonts w:hint="eastAsia" w:ascii="Times New Roman" w:hAnsi="Times New Roman" w:cs="Times New Roman"/>
              <w:sz w:val="24"/>
            </w:rPr>
            <w:t>第五部分 附表</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_Toc6880 </w:instrText>
          </w:r>
          <w:r>
            <w:rPr>
              <w:rFonts w:hint="eastAsia" w:ascii="Times New Roman" w:hAnsi="Times New Roman" w:cs="Times New Roman"/>
              <w:sz w:val="24"/>
            </w:rPr>
            <w:fldChar w:fldCharType="separate"/>
          </w:r>
          <w:r>
            <w:rPr>
              <w:rFonts w:hint="eastAsia" w:ascii="Times New Roman" w:hAnsi="Times New Roman" w:cs="Times New Roman"/>
              <w:sz w:val="24"/>
            </w:rPr>
            <w:t>26</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_Toc1843 </w:instrText>
          </w:r>
          <w:r>
            <w:rPr>
              <w:rFonts w:hint="eastAsia" w:ascii="Times New Roman" w:hAnsi="Times New Roman" w:cs="Times New Roman"/>
              <w:sz w:val="24"/>
            </w:rPr>
            <w:fldChar w:fldCharType="separate"/>
          </w:r>
          <w:r>
            <w:rPr>
              <w:rFonts w:hint="eastAsia" w:ascii="Times New Roman" w:hAnsi="Times New Roman" w:cs="Times New Roman"/>
              <w:sz w:val="24"/>
            </w:rPr>
            <w:t>一、收入支出决算总表</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_Toc1843 </w:instrText>
          </w:r>
          <w:r>
            <w:rPr>
              <w:rFonts w:hint="eastAsia" w:ascii="Times New Roman" w:hAnsi="Times New Roman" w:cs="Times New Roman"/>
              <w:sz w:val="24"/>
            </w:rPr>
            <w:fldChar w:fldCharType="separate"/>
          </w:r>
          <w:r>
            <w:rPr>
              <w:rFonts w:hint="eastAsia" w:ascii="Times New Roman" w:hAnsi="Times New Roman" w:cs="Times New Roman"/>
              <w:sz w:val="24"/>
            </w:rPr>
            <w:t>26</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_Toc16852 </w:instrText>
          </w:r>
          <w:r>
            <w:rPr>
              <w:rFonts w:hint="eastAsia" w:ascii="Times New Roman" w:hAnsi="Times New Roman" w:cs="Times New Roman"/>
              <w:sz w:val="24"/>
            </w:rPr>
            <w:fldChar w:fldCharType="separate"/>
          </w:r>
          <w:r>
            <w:rPr>
              <w:rFonts w:hint="eastAsia" w:ascii="Times New Roman" w:hAnsi="Times New Roman" w:cs="Times New Roman"/>
              <w:sz w:val="24"/>
            </w:rPr>
            <w:t>二、收入决算表</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_Toc16852 </w:instrText>
          </w:r>
          <w:r>
            <w:rPr>
              <w:rFonts w:hint="eastAsia" w:ascii="Times New Roman" w:hAnsi="Times New Roman" w:cs="Times New Roman"/>
              <w:sz w:val="24"/>
            </w:rPr>
            <w:fldChar w:fldCharType="separate"/>
          </w:r>
          <w:r>
            <w:rPr>
              <w:rFonts w:hint="eastAsia" w:ascii="Times New Roman" w:hAnsi="Times New Roman" w:cs="Times New Roman"/>
              <w:sz w:val="24"/>
            </w:rPr>
            <w:t>26</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_Toc32209 </w:instrText>
          </w:r>
          <w:r>
            <w:rPr>
              <w:rFonts w:hint="eastAsia" w:ascii="Times New Roman" w:hAnsi="Times New Roman" w:cs="Times New Roman"/>
              <w:sz w:val="24"/>
            </w:rPr>
            <w:fldChar w:fldCharType="separate"/>
          </w:r>
          <w:r>
            <w:rPr>
              <w:rFonts w:hint="eastAsia" w:ascii="Times New Roman" w:hAnsi="Times New Roman" w:cs="Times New Roman"/>
              <w:sz w:val="24"/>
            </w:rPr>
            <w:t>三、支出决算表</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_Toc32209 </w:instrText>
          </w:r>
          <w:r>
            <w:rPr>
              <w:rFonts w:hint="eastAsia" w:ascii="Times New Roman" w:hAnsi="Times New Roman" w:cs="Times New Roman"/>
              <w:sz w:val="24"/>
            </w:rPr>
            <w:fldChar w:fldCharType="separate"/>
          </w:r>
          <w:r>
            <w:rPr>
              <w:rFonts w:hint="eastAsia" w:ascii="Times New Roman" w:hAnsi="Times New Roman" w:cs="Times New Roman"/>
              <w:sz w:val="24"/>
            </w:rPr>
            <w:t>26</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_Toc1579 </w:instrText>
          </w:r>
          <w:r>
            <w:rPr>
              <w:rFonts w:hint="eastAsia" w:ascii="Times New Roman" w:hAnsi="Times New Roman" w:cs="Times New Roman"/>
              <w:sz w:val="24"/>
            </w:rPr>
            <w:fldChar w:fldCharType="separate"/>
          </w:r>
          <w:r>
            <w:rPr>
              <w:rFonts w:hint="eastAsia" w:ascii="Times New Roman" w:hAnsi="Times New Roman" w:cs="Times New Roman"/>
              <w:sz w:val="24"/>
            </w:rPr>
            <w:t>四、财政拨款收入支出决算总表</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_Toc1579 </w:instrText>
          </w:r>
          <w:r>
            <w:rPr>
              <w:rFonts w:hint="eastAsia" w:ascii="Times New Roman" w:hAnsi="Times New Roman" w:cs="Times New Roman"/>
              <w:sz w:val="24"/>
            </w:rPr>
            <w:fldChar w:fldCharType="separate"/>
          </w:r>
          <w:r>
            <w:rPr>
              <w:rFonts w:hint="eastAsia" w:ascii="Times New Roman" w:hAnsi="Times New Roman" w:cs="Times New Roman"/>
              <w:sz w:val="24"/>
            </w:rPr>
            <w:t>26</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_Toc30807 </w:instrText>
          </w:r>
          <w:r>
            <w:rPr>
              <w:rFonts w:hint="eastAsia" w:ascii="Times New Roman" w:hAnsi="Times New Roman" w:cs="Times New Roman"/>
              <w:sz w:val="24"/>
            </w:rPr>
            <w:fldChar w:fldCharType="separate"/>
          </w:r>
          <w:r>
            <w:rPr>
              <w:rFonts w:hint="eastAsia" w:ascii="Times New Roman" w:hAnsi="Times New Roman" w:cs="Times New Roman"/>
              <w:sz w:val="24"/>
            </w:rPr>
            <w:t>五、财政拨款支出决算明细表</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_Toc30807 </w:instrText>
          </w:r>
          <w:r>
            <w:rPr>
              <w:rFonts w:hint="eastAsia" w:ascii="Times New Roman" w:hAnsi="Times New Roman" w:cs="Times New Roman"/>
              <w:sz w:val="24"/>
            </w:rPr>
            <w:fldChar w:fldCharType="separate"/>
          </w:r>
          <w:r>
            <w:rPr>
              <w:rFonts w:hint="eastAsia" w:ascii="Times New Roman" w:hAnsi="Times New Roman" w:cs="Times New Roman"/>
              <w:sz w:val="24"/>
            </w:rPr>
            <w:t>26</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_Toc32665 </w:instrText>
          </w:r>
          <w:r>
            <w:rPr>
              <w:rFonts w:hint="eastAsia" w:ascii="Times New Roman" w:hAnsi="Times New Roman" w:cs="Times New Roman"/>
              <w:sz w:val="24"/>
            </w:rPr>
            <w:fldChar w:fldCharType="separate"/>
          </w:r>
          <w:r>
            <w:rPr>
              <w:rFonts w:hint="eastAsia" w:ascii="Times New Roman" w:hAnsi="Times New Roman" w:cs="Times New Roman"/>
              <w:sz w:val="24"/>
            </w:rPr>
            <w:t>六、一般公共预算财政拨款支出决算表</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_Toc32665 </w:instrText>
          </w:r>
          <w:r>
            <w:rPr>
              <w:rFonts w:hint="eastAsia" w:ascii="Times New Roman" w:hAnsi="Times New Roman" w:cs="Times New Roman"/>
              <w:sz w:val="24"/>
            </w:rPr>
            <w:fldChar w:fldCharType="separate"/>
          </w:r>
          <w:r>
            <w:rPr>
              <w:rFonts w:hint="eastAsia" w:ascii="Times New Roman" w:hAnsi="Times New Roman" w:cs="Times New Roman"/>
              <w:sz w:val="24"/>
            </w:rPr>
            <w:t>26</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_Toc4660 </w:instrText>
          </w:r>
          <w:r>
            <w:rPr>
              <w:rFonts w:hint="eastAsia" w:ascii="Times New Roman" w:hAnsi="Times New Roman" w:cs="Times New Roman"/>
              <w:sz w:val="24"/>
            </w:rPr>
            <w:fldChar w:fldCharType="separate"/>
          </w:r>
          <w:r>
            <w:rPr>
              <w:rFonts w:hint="eastAsia" w:ascii="Times New Roman" w:hAnsi="Times New Roman" w:cs="Times New Roman"/>
              <w:sz w:val="24"/>
            </w:rPr>
            <w:t>七、一般公共预算财政拨款支出决算明细表</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_Toc4660 </w:instrText>
          </w:r>
          <w:r>
            <w:rPr>
              <w:rFonts w:hint="eastAsia" w:ascii="Times New Roman" w:hAnsi="Times New Roman" w:cs="Times New Roman"/>
              <w:sz w:val="24"/>
            </w:rPr>
            <w:fldChar w:fldCharType="separate"/>
          </w:r>
          <w:r>
            <w:rPr>
              <w:rFonts w:hint="eastAsia" w:ascii="Times New Roman" w:hAnsi="Times New Roman" w:cs="Times New Roman"/>
              <w:sz w:val="24"/>
            </w:rPr>
            <w:t>26</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_Toc23597 </w:instrText>
          </w:r>
          <w:r>
            <w:rPr>
              <w:rFonts w:hint="eastAsia" w:ascii="Times New Roman" w:hAnsi="Times New Roman" w:cs="Times New Roman"/>
              <w:sz w:val="24"/>
            </w:rPr>
            <w:fldChar w:fldCharType="separate"/>
          </w:r>
          <w:r>
            <w:rPr>
              <w:rFonts w:hint="eastAsia" w:ascii="Times New Roman" w:hAnsi="Times New Roman" w:cs="Times New Roman"/>
              <w:sz w:val="24"/>
            </w:rPr>
            <w:t>八、一般公共预算财政拨款基本支出决算表</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_Toc23597 </w:instrText>
          </w:r>
          <w:r>
            <w:rPr>
              <w:rFonts w:hint="eastAsia" w:ascii="Times New Roman" w:hAnsi="Times New Roman" w:cs="Times New Roman"/>
              <w:sz w:val="24"/>
            </w:rPr>
            <w:fldChar w:fldCharType="separate"/>
          </w:r>
          <w:r>
            <w:rPr>
              <w:rFonts w:hint="eastAsia" w:ascii="Times New Roman" w:hAnsi="Times New Roman" w:cs="Times New Roman"/>
              <w:sz w:val="24"/>
            </w:rPr>
            <w:t>26</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_Toc18452 </w:instrText>
          </w:r>
          <w:r>
            <w:rPr>
              <w:rFonts w:hint="eastAsia" w:ascii="Times New Roman" w:hAnsi="Times New Roman" w:cs="Times New Roman"/>
              <w:sz w:val="24"/>
            </w:rPr>
            <w:fldChar w:fldCharType="separate"/>
          </w:r>
          <w:r>
            <w:rPr>
              <w:rFonts w:hint="eastAsia" w:ascii="Times New Roman" w:hAnsi="Times New Roman" w:cs="Times New Roman"/>
              <w:sz w:val="24"/>
            </w:rPr>
            <w:t>九、一般公共预算财政拨款项目支出决算表</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_Toc18452 </w:instrText>
          </w:r>
          <w:r>
            <w:rPr>
              <w:rFonts w:hint="eastAsia" w:ascii="Times New Roman" w:hAnsi="Times New Roman" w:cs="Times New Roman"/>
              <w:sz w:val="24"/>
            </w:rPr>
            <w:fldChar w:fldCharType="separate"/>
          </w:r>
          <w:r>
            <w:rPr>
              <w:rFonts w:hint="eastAsia" w:ascii="Times New Roman" w:hAnsi="Times New Roman" w:cs="Times New Roman"/>
              <w:sz w:val="24"/>
            </w:rPr>
            <w:t>26</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_Toc31067 </w:instrText>
          </w:r>
          <w:r>
            <w:rPr>
              <w:rFonts w:hint="eastAsia" w:ascii="Times New Roman" w:hAnsi="Times New Roman" w:cs="Times New Roman"/>
              <w:sz w:val="24"/>
            </w:rPr>
            <w:fldChar w:fldCharType="separate"/>
          </w:r>
          <w:r>
            <w:rPr>
              <w:rFonts w:hint="eastAsia" w:ascii="Times New Roman" w:hAnsi="Times New Roman" w:cs="Times New Roman"/>
              <w:sz w:val="24"/>
            </w:rPr>
            <w:t>十、政府性基金预算财政拨款收入支出决算表</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_Toc31067 </w:instrText>
          </w:r>
          <w:r>
            <w:rPr>
              <w:rFonts w:hint="eastAsia" w:ascii="Times New Roman" w:hAnsi="Times New Roman" w:cs="Times New Roman"/>
              <w:sz w:val="24"/>
            </w:rPr>
            <w:fldChar w:fldCharType="separate"/>
          </w:r>
          <w:r>
            <w:rPr>
              <w:rFonts w:hint="eastAsia" w:ascii="Times New Roman" w:hAnsi="Times New Roman" w:cs="Times New Roman"/>
              <w:sz w:val="24"/>
            </w:rPr>
            <w:t>26</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_Toc20293 </w:instrText>
          </w:r>
          <w:r>
            <w:rPr>
              <w:rFonts w:hint="eastAsia" w:ascii="Times New Roman" w:hAnsi="Times New Roman" w:cs="Times New Roman"/>
              <w:sz w:val="24"/>
            </w:rPr>
            <w:fldChar w:fldCharType="separate"/>
          </w:r>
          <w:r>
            <w:rPr>
              <w:rFonts w:hint="eastAsia" w:ascii="Times New Roman" w:hAnsi="Times New Roman" w:cs="Times New Roman"/>
              <w:sz w:val="24"/>
            </w:rPr>
            <w:t>十一、国有资本经营预算财政拨款收入支出决算表</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_Toc20293 </w:instrText>
          </w:r>
          <w:r>
            <w:rPr>
              <w:rFonts w:hint="eastAsia" w:ascii="Times New Roman" w:hAnsi="Times New Roman" w:cs="Times New Roman"/>
              <w:sz w:val="24"/>
            </w:rPr>
            <w:fldChar w:fldCharType="separate"/>
          </w:r>
          <w:r>
            <w:rPr>
              <w:rFonts w:hint="eastAsia" w:ascii="Times New Roman" w:hAnsi="Times New Roman" w:cs="Times New Roman"/>
              <w:sz w:val="24"/>
            </w:rPr>
            <w:t>26</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_Toc30261 </w:instrText>
          </w:r>
          <w:r>
            <w:rPr>
              <w:rFonts w:hint="eastAsia" w:ascii="Times New Roman" w:hAnsi="Times New Roman" w:cs="Times New Roman"/>
              <w:sz w:val="24"/>
            </w:rPr>
            <w:fldChar w:fldCharType="separate"/>
          </w:r>
          <w:r>
            <w:rPr>
              <w:rFonts w:hint="eastAsia" w:ascii="Times New Roman" w:hAnsi="Times New Roman" w:cs="Times New Roman"/>
              <w:sz w:val="24"/>
            </w:rPr>
            <w:t>十二、国有资本经营预算财政拨款支出决算表</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_Toc30261 </w:instrText>
          </w:r>
          <w:r>
            <w:rPr>
              <w:rFonts w:hint="eastAsia" w:ascii="Times New Roman" w:hAnsi="Times New Roman" w:cs="Times New Roman"/>
              <w:sz w:val="24"/>
            </w:rPr>
            <w:fldChar w:fldCharType="separate"/>
          </w:r>
          <w:r>
            <w:rPr>
              <w:rFonts w:hint="eastAsia" w:ascii="Times New Roman" w:hAnsi="Times New Roman" w:cs="Times New Roman"/>
              <w:sz w:val="24"/>
            </w:rPr>
            <w:t>26</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_Toc5515 </w:instrText>
          </w:r>
          <w:r>
            <w:rPr>
              <w:rFonts w:hint="eastAsia" w:ascii="Times New Roman" w:hAnsi="Times New Roman" w:cs="Times New Roman"/>
              <w:sz w:val="24"/>
            </w:rPr>
            <w:fldChar w:fldCharType="separate"/>
          </w:r>
          <w:r>
            <w:rPr>
              <w:rFonts w:hint="eastAsia" w:ascii="Times New Roman" w:hAnsi="Times New Roman" w:cs="Times New Roman"/>
              <w:sz w:val="24"/>
            </w:rPr>
            <w:t>十三、财政拨款“三公”经费支出决算表</w:t>
          </w:r>
          <w:r>
            <w:rPr>
              <w:rFonts w:hint="eastAsia" w:ascii="Times New Roman" w:hAnsi="Times New Roman" w:cs="Times New Roman"/>
              <w:sz w:val="24"/>
            </w:rPr>
            <w:tab/>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PAGEREF _Toc5515 </w:instrText>
          </w:r>
          <w:r>
            <w:rPr>
              <w:rFonts w:hint="eastAsia" w:ascii="Times New Roman" w:hAnsi="Times New Roman" w:cs="Times New Roman"/>
              <w:sz w:val="24"/>
            </w:rPr>
            <w:fldChar w:fldCharType="separate"/>
          </w:r>
          <w:r>
            <w:rPr>
              <w:rFonts w:hint="eastAsia" w:ascii="Times New Roman" w:hAnsi="Times New Roman" w:cs="Times New Roman"/>
              <w:sz w:val="24"/>
            </w:rPr>
            <w:t>26</w:t>
          </w:r>
          <w:r>
            <w:rPr>
              <w:rFonts w:hint="eastAsia" w:ascii="Times New Roman" w:hAnsi="Times New Roman" w:cs="Times New Roman"/>
              <w:sz w:val="24"/>
            </w:rPr>
            <w:fldChar w:fldCharType="end"/>
          </w:r>
          <w:r>
            <w:rPr>
              <w:rFonts w:hint="eastAsia" w:ascii="Times New Roman" w:hAnsi="Times New Roman" w:cs="Times New Roman"/>
              <w:sz w:val="24"/>
            </w:rPr>
            <w:fldChar w:fldCharType="end"/>
          </w:r>
        </w:p>
        <w:p>
          <w:pPr>
            <w:pStyle w:val="13"/>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fldChar w:fldCharType="end"/>
          </w:r>
        </w:p>
      </w:sdtContent>
    </w:sdt>
    <w:p>
      <w:pPr>
        <w:pStyle w:val="4"/>
        <w:jc w:val="center"/>
        <w:rPr>
          <w:rFonts w:hint="eastAsia" w:ascii="黑体" w:hAnsi="黑体" w:eastAsia="黑体"/>
          <w:b w:val="0"/>
        </w:rPr>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pPr>
      <w:bookmarkStart w:id="14" w:name="_Toc6250"/>
      <w:bookmarkStart w:id="15" w:name="_Toc15377196"/>
      <w:bookmarkStart w:id="16" w:name="_Toc15396599"/>
    </w:p>
    <w:p>
      <w:pPr>
        <w:pStyle w:val="4"/>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4"/>
      <w:bookmarkEnd w:id="15"/>
      <w:bookmarkEnd w:id="16"/>
    </w:p>
    <w:p>
      <w:pPr>
        <w:widowControl/>
        <w:jc w:val="left"/>
        <w:rPr>
          <w:rFonts w:ascii="黑体" w:eastAsia="黑体"/>
          <w:sz w:val="32"/>
          <w:szCs w:val="32"/>
        </w:rPr>
      </w:pPr>
    </w:p>
    <w:p>
      <w:pPr>
        <w:pStyle w:val="5"/>
        <w:numPr>
          <w:ilvl w:val="0"/>
          <w:numId w:val="1"/>
        </w:numPr>
        <w:rPr>
          <w:rStyle w:val="28"/>
          <w:rFonts w:ascii="黑体" w:hAnsi="黑体" w:eastAsia="黑体"/>
          <w:b w:val="0"/>
          <w:bCs w:val="0"/>
        </w:rPr>
      </w:pPr>
      <w:bookmarkStart w:id="17" w:name="_Toc5982"/>
      <w:bookmarkStart w:id="18" w:name="_Toc15396600"/>
      <w:bookmarkStart w:id="19" w:name="_Toc15377197"/>
      <w:r>
        <w:rPr>
          <w:rStyle w:val="28"/>
          <w:rFonts w:hint="eastAsia" w:ascii="黑体" w:hAnsi="黑体" w:eastAsia="黑体"/>
          <w:b w:val="0"/>
          <w:bCs w:val="0"/>
        </w:rPr>
        <w:t>主要职责</w:t>
      </w:r>
      <w:bookmarkEnd w:id="17"/>
    </w:p>
    <w:p>
      <w:pPr>
        <w:keepNext/>
        <w:keepLines/>
        <w:pageBreakBefore w:val="0"/>
        <w:widowControl w:val="0"/>
        <w:kinsoku/>
        <w:wordWrap/>
        <w:overflowPunct/>
        <w:topLinePunct w:val="0"/>
        <w:autoSpaceDE/>
        <w:autoSpaceDN/>
        <w:bidi w:val="0"/>
        <w:adjustRightInd/>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开展知识产权法规、政策、工作等调查研究，负责省、市知识产权专项资金项目管理工作。推进全市知识产权运营、转移转化等服务促进工作。推动企业实施知识产权管理规范国家标准。开展园区、企业知识产权试点示范和优势培育，培育知识产权密集型产业和企业。推进知识产权金融创新，承担专利奖组织推荐、专利数据统计、专利资助等工作。开展知识产权宣传培训，开展中小学知识产权普及教育试点，推动高等院校知识产权学科建设。</w:t>
      </w:r>
    </w:p>
    <w:p>
      <w:pPr>
        <w:keepNext/>
        <w:keepLines/>
        <w:pageBreakBefore w:val="0"/>
        <w:widowControl w:val="0"/>
        <w:kinsoku/>
        <w:wordWrap/>
        <w:overflowPunct/>
        <w:topLinePunct w:val="0"/>
        <w:autoSpaceDE/>
        <w:autoSpaceDN/>
        <w:bidi w:val="0"/>
        <w:adjustRightInd/>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负责知识产权维权援助服务工作。指导企事业单位应对各类知识产权纠纷。推动开展知识产权仲裁、调解工作。推进全市知识产权公共服务平台建设，承担知识产权信息开发利用和传播利用。开展产业知识产权导航，参与全市重大经济科技活动知识产权评议工作。推动企业、高等学校、科研院所等创新创业主体开展知识产权布局。加强知识产权服务机构的管理。</w:t>
      </w:r>
    </w:p>
    <w:p/>
    <w:p>
      <w:pPr>
        <w:pStyle w:val="5"/>
        <w:numPr>
          <w:ilvl w:val="0"/>
          <w:numId w:val="1"/>
        </w:numPr>
        <w:ind w:left="0" w:leftChars="0" w:firstLine="0" w:firstLineChars="0"/>
        <w:rPr>
          <w:rFonts w:hint="eastAsia" w:ascii="黑体" w:hAnsi="黑体" w:eastAsia="黑体"/>
          <w:b w:val="0"/>
          <w:lang w:val="en-US" w:eastAsia="zh-CN"/>
        </w:rPr>
      </w:pPr>
      <w:bookmarkStart w:id="20" w:name="_Toc28608"/>
      <w:r>
        <w:rPr>
          <w:rFonts w:hint="eastAsia" w:ascii="黑体" w:hAnsi="黑体" w:eastAsia="黑体"/>
          <w:b w:val="0"/>
        </w:rPr>
        <w:t>机构设置</w:t>
      </w:r>
      <w:bookmarkEnd w:id="18"/>
      <w:bookmarkEnd w:id="19"/>
      <w:bookmarkEnd w:id="20"/>
      <w:r>
        <w:rPr>
          <w:rFonts w:hint="eastAsia" w:ascii="黑体" w:hAnsi="黑体" w:eastAsia="黑体"/>
          <w:b w:val="0"/>
          <w:lang w:val="en-US" w:eastAsia="zh-CN"/>
        </w:rPr>
        <w:tab/>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ascii="Times New Roman" w:hAnsi="Times New Roman" w:eastAsia="宋体" w:cs="Times New Roman"/>
          <w:kern w:val="2"/>
          <w:sz w:val="21"/>
          <w:szCs w:val="24"/>
          <w:lang w:val="en-US" w:eastAsia="zh-CN" w:bidi="ar-SA"/>
        </w:rPr>
      </w:pPr>
      <w:r>
        <w:rPr>
          <w:rFonts w:hint="eastAsia" w:ascii="仿宋" w:hAnsi="仿宋" w:eastAsia="仿宋"/>
          <w:sz w:val="32"/>
        </w:rPr>
        <w:t>乐山市知识产权服务促进中心下属二级单位0个，其中行政单位0个，参照公务员法管理的事业单位1个，其他事业单位0个。</w:t>
      </w:r>
    </w:p>
    <w:p>
      <w:pPr>
        <w:pStyle w:val="4"/>
        <w:ind w:right="440"/>
        <w:jc w:val="center"/>
        <w:rPr>
          <w:rStyle w:val="27"/>
          <w:rFonts w:ascii="黑体" w:hAnsi="黑体" w:eastAsia="黑体"/>
          <w:b w:val="0"/>
          <w:bCs/>
        </w:rPr>
      </w:pPr>
      <w:bookmarkStart w:id="21" w:name="_Toc15396602"/>
      <w:bookmarkStart w:id="22" w:name="_Toc15377204"/>
      <w:bookmarkStart w:id="23" w:name="_Toc28303"/>
      <w:r>
        <w:rPr>
          <w:rFonts w:hint="eastAsia" w:ascii="黑体" w:hAnsi="黑体" w:eastAsia="黑体"/>
          <w:b w:val="0"/>
        </w:rPr>
        <w:t>第二部分 2023年度</w:t>
      </w:r>
      <w:r>
        <w:rPr>
          <w:rStyle w:val="27"/>
          <w:rFonts w:hint="eastAsia" w:ascii="黑体" w:hAnsi="黑体" w:eastAsia="黑体"/>
          <w:b w:val="0"/>
          <w:bCs/>
        </w:rPr>
        <w:t>单位决算情况说明</w:t>
      </w:r>
      <w:bookmarkEnd w:id="21"/>
      <w:bookmarkEnd w:id="22"/>
      <w:bookmarkEnd w:id="23"/>
    </w:p>
    <w:p/>
    <w:p>
      <w:pPr>
        <w:pStyle w:val="26"/>
        <w:numPr>
          <w:ilvl w:val="0"/>
          <w:numId w:val="2"/>
        </w:numPr>
        <w:spacing w:line="600" w:lineRule="exact"/>
        <w:ind w:firstLineChars="0"/>
        <w:outlineLvl w:val="1"/>
        <w:rPr>
          <w:rFonts w:hint="eastAsia" w:ascii="仿宋" w:hAnsi="仿宋" w:eastAsia="仿宋"/>
          <w:sz w:val="32"/>
          <w:szCs w:val="32"/>
        </w:rPr>
      </w:pPr>
      <w:bookmarkStart w:id="24" w:name="_Toc817"/>
      <w:bookmarkStart w:id="25" w:name="_Toc15377205"/>
      <w:bookmarkStart w:id="26"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24"/>
      <w:bookmarkEnd w:id="25"/>
      <w:bookmarkEnd w:id="26"/>
    </w:p>
    <w:p>
      <w:pPr>
        <w:pStyle w:val="2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sz w:val="32"/>
          <w:szCs w:val="32"/>
        </w:rPr>
      </w:pPr>
      <w:bookmarkStart w:id="27" w:name="_Toc22347"/>
      <w:r>
        <w:rPr>
          <w:rFonts w:hint="eastAsia" w:ascii="仿宋" w:hAnsi="仿宋" w:eastAsia="仿宋"/>
          <w:sz w:val="32"/>
          <w:szCs w:val="32"/>
        </w:rPr>
        <w:t>2023年度收、支总计均为</w:t>
      </w:r>
      <w:r>
        <w:rPr>
          <w:rFonts w:hint="eastAsia" w:ascii="仿宋" w:hAnsi="仿宋" w:eastAsia="仿宋" w:cs="Times New Roman"/>
          <w:sz w:val="32"/>
          <w:szCs w:val="32"/>
          <w:lang w:val="en-US" w:eastAsia="zh-CN"/>
        </w:rPr>
        <w:t>231.05</w:t>
      </w:r>
      <w:r>
        <w:rPr>
          <w:rFonts w:hint="eastAsia" w:ascii="仿宋" w:hAnsi="仿宋" w:eastAsia="仿宋"/>
          <w:sz w:val="32"/>
          <w:szCs w:val="32"/>
        </w:rPr>
        <w:t>万元。与2022年度相比，收、支总计各减少</w:t>
      </w:r>
      <w:r>
        <w:rPr>
          <w:rFonts w:hint="eastAsia" w:ascii="仿宋" w:hAnsi="仿宋" w:eastAsia="仿宋"/>
          <w:sz w:val="32"/>
          <w:szCs w:val="32"/>
          <w:lang w:val="en-US" w:eastAsia="zh-CN"/>
        </w:rPr>
        <w:t>121.75</w:t>
      </w:r>
      <w:r>
        <w:rPr>
          <w:rFonts w:hint="eastAsia" w:ascii="仿宋" w:hAnsi="仿宋" w:eastAsia="仿宋"/>
          <w:sz w:val="32"/>
          <w:szCs w:val="32"/>
        </w:rPr>
        <w:t>万元，下降</w:t>
      </w:r>
      <w:r>
        <w:rPr>
          <w:rFonts w:hint="eastAsia" w:ascii="仿宋" w:hAnsi="仿宋" w:eastAsia="仿宋"/>
          <w:sz w:val="32"/>
          <w:szCs w:val="32"/>
          <w:lang w:val="en-US" w:eastAsia="zh-CN"/>
        </w:rPr>
        <w:t>34.5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2023年我单位省、</w:t>
      </w:r>
      <w:r>
        <w:rPr>
          <w:rFonts w:hint="eastAsia" w:ascii="仿宋_GB2312" w:hAnsi="仿宋" w:eastAsia="仿宋_GB2312"/>
          <w:sz w:val="32"/>
          <w:szCs w:val="32"/>
          <w:lang w:val="en-US" w:eastAsia="zh-CN"/>
        </w:rPr>
        <w:t>市级知识产权资助资金减少。</w:t>
      </w:r>
      <w:bookmarkEnd w:id="27"/>
    </w:p>
    <w:p>
      <w:pPr>
        <w:pStyle w:val="2"/>
        <w:ind w:left="0" w:leftChars="0" w:firstLine="0" w:firstLineChars="0"/>
        <w:rPr>
          <w:rFonts w:hint="eastAsia" w:ascii="仿宋" w:hAnsi="仿宋" w:eastAsia="仿宋"/>
          <w:sz w:val="32"/>
          <w:szCs w:val="32"/>
        </w:rPr>
      </w:pPr>
      <w:r>
        <w:drawing>
          <wp:inline distT="0" distB="0" distL="114300" distR="114300">
            <wp:extent cx="4848225" cy="2743200"/>
            <wp:effectExtent l="4445" t="4445" r="5080"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6"/>
        <w:numPr>
          <w:ilvl w:val="0"/>
          <w:numId w:val="2"/>
        </w:numPr>
        <w:spacing w:line="600" w:lineRule="exact"/>
        <w:ind w:firstLineChars="0"/>
        <w:outlineLvl w:val="1"/>
        <w:rPr>
          <w:rStyle w:val="28"/>
          <w:rFonts w:ascii="黑体" w:hAnsi="黑体" w:eastAsia="黑体"/>
          <w:b w:val="0"/>
        </w:rPr>
      </w:pPr>
      <w:bookmarkStart w:id="28" w:name="_Toc15377206"/>
      <w:bookmarkStart w:id="29" w:name="_Toc15396604"/>
      <w:bookmarkStart w:id="30" w:name="_Toc5481"/>
      <w:r>
        <w:rPr>
          <w:rFonts w:hint="eastAsia" w:ascii="黑体" w:hAnsi="黑体" w:eastAsia="黑体"/>
          <w:sz w:val="32"/>
          <w:szCs w:val="32"/>
        </w:rPr>
        <w:t>收</w:t>
      </w:r>
      <w:r>
        <w:rPr>
          <w:rStyle w:val="28"/>
          <w:rFonts w:hint="eastAsia" w:ascii="黑体" w:hAnsi="黑体" w:eastAsia="黑体"/>
          <w:b w:val="0"/>
        </w:rPr>
        <w:t>入决算情况说明</w:t>
      </w:r>
      <w:bookmarkEnd w:id="28"/>
      <w:bookmarkEnd w:id="29"/>
      <w:bookmarkEnd w:id="30"/>
    </w:p>
    <w:p>
      <w:pPr>
        <w:spacing w:line="600" w:lineRule="exact"/>
        <w:ind w:firstLine="640" w:firstLineChars="200"/>
        <w:outlineLvl w:val="1"/>
        <w:rPr>
          <w:rFonts w:hint="eastAsia" w:ascii="仿宋" w:hAnsi="仿宋" w:eastAsia="仿宋"/>
          <w:b w:val="0"/>
          <w:bCs w:val="0"/>
          <w:sz w:val="32"/>
          <w:szCs w:val="32"/>
          <w:lang w:eastAsia="zh-CN"/>
        </w:rPr>
      </w:pPr>
      <w:bookmarkStart w:id="31" w:name="_Toc6779"/>
      <w:r>
        <w:rPr>
          <w:rFonts w:hint="eastAsia" w:ascii="仿宋" w:hAnsi="仿宋" w:eastAsia="仿宋"/>
          <w:b w:val="0"/>
          <w:bCs w:val="0"/>
          <w:sz w:val="32"/>
          <w:szCs w:val="32"/>
        </w:rPr>
        <w:t>2023年度本年收入合计</w:t>
      </w:r>
      <w:r>
        <w:rPr>
          <w:rFonts w:ascii="仿宋" w:hAnsi="仿宋" w:eastAsia="仿宋"/>
          <w:b w:val="0"/>
          <w:bCs w:val="0"/>
          <w:sz w:val="32"/>
          <w:szCs w:val="32"/>
        </w:rPr>
        <w:t>231.05</w:t>
      </w:r>
      <w:r>
        <w:rPr>
          <w:rFonts w:hint="eastAsia" w:ascii="仿宋" w:hAnsi="仿宋" w:eastAsia="仿宋"/>
          <w:b w:val="0"/>
          <w:bCs w:val="0"/>
          <w:sz w:val="32"/>
          <w:szCs w:val="32"/>
        </w:rPr>
        <w:t>万元，其中：一般公共预算财政拨款收入</w:t>
      </w:r>
      <w:r>
        <w:rPr>
          <w:rFonts w:ascii="仿宋" w:hAnsi="仿宋" w:eastAsia="仿宋"/>
          <w:b w:val="0"/>
          <w:bCs w:val="0"/>
          <w:sz w:val="32"/>
          <w:szCs w:val="32"/>
        </w:rPr>
        <w:t>231.05</w:t>
      </w:r>
      <w:r>
        <w:rPr>
          <w:rFonts w:hint="eastAsia" w:ascii="仿宋" w:hAnsi="仿宋" w:eastAsia="仿宋"/>
          <w:b w:val="0"/>
          <w:bCs w:val="0"/>
          <w:sz w:val="32"/>
          <w:szCs w:val="32"/>
        </w:rPr>
        <w:t>万元，占</w:t>
      </w:r>
      <w:r>
        <w:rPr>
          <w:rFonts w:ascii="仿宋" w:hAnsi="仿宋" w:eastAsia="仿宋"/>
          <w:b w:val="0"/>
          <w:bCs w:val="0"/>
          <w:sz w:val="32"/>
          <w:szCs w:val="32"/>
        </w:rPr>
        <w:t>100%</w:t>
      </w:r>
      <w:r>
        <w:rPr>
          <w:rFonts w:hint="eastAsia" w:ascii="仿宋" w:hAnsi="仿宋" w:eastAsia="仿宋"/>
          <w:b w:val="0"/>
          <w:bCs w:val="0"/>
          <w:sz w:val="32"/>
          <w:szCs w:val="32"/>
        </w:rPr>
        <w:t>；政府性基金预算财政拨款收入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；国有资本经营预算财政拨款收入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；上级补助收入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；事业收入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；经营收入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；附属单位上缴收入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；其他收入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bookmarkEnd w:id="31"/>
      <w:r>
        <w:rPr>
          <w:rFonts w:hint="eastAsia" w:ascii="仿宋" w:hAnsi="仿宋" w:eastAsia="仿宋"/>
          <w:b w:val="0"/>
          <w:bCs w:val="0"/>
          <w:sz w:val="32"/>
          <w:szCs w:val="32"/>
          <w:lang w:eastAsia="zh-CN"/>
        </w:rPr>
        <w:t>。</w:t>
      </w:r>
    </w:p>
    <w:p>
      <w:pPr>
        <w:pStyle w:val="2"/>
        <w:ind w:left="0" w:leftChars="0" w:firstLine="0" w:firstLineChars="0"/>
        <w:rPr>
          <w:rFonts w:ascii="仿宋" w:hAnsi="仿宋" w:eastAsia="仿宋"/>
          <w:sz w:val="32"/>
          <w:szCs w:val="32"/>
        </w:rPr>
      </w:pPr>
      <w:r>
        <w:drawing>
          <wp:inline distT="0" distB="0" distL="114300" distR="114300">
            <wp:extent cx="4848225" cy="25717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6"/>
        <w:numPr>
          <w:ilvl w:val="0"/>
          <w:numId w:val="2"/>
        </w:numPr>
        <w:spacing w:line="600" w:lineRule="exact"/>
        <w:ind w:firstLineChars="0"/>
        <w:outlineLvl w:val="1"/>
        <w:rPr>
          <w:rStyle w:val="28"/>
          <w:rFonts w:ascii="黑体" w:hAnsi="黑体" w:eastAsia="黑体"/>
          <w:b w:val="0"/>
        </w:rPr>
      </w:pPr>
      <w:bookmarkStart w:id="32" w:name="_Toc15396605"/>
      <w:bookmarkStart w:id="33" w:name="_Toc15377207"/>
      <w:bookmarkStart w:id="34" w:name="_Toc16625"/>
      <w:r>
        <w:rPr>
          <w:rFonts w:hint="eastAsia" w:ascii="黑体" w:hAnsi="黑体" w:eastAsia="黑体"/>
          <w:sz w:val="32"/>
          <w:szCs w:val="32"/>
        </w:rPr>
        <w:t>支</w:t>
      </w:r>
      <w:r>
        <w:rPr>
          <w:rStyle w:val="28"/>
          <w:rFonts w:hint="eastAsia" w:ascii="黑体" w:hAnsi="黑体" w:eastAsia="黑体"/>
          <w:b w:val="0"/>
        </w:rPr>
        <w:t>出决算情况说明</w:t>
      </w:r>
      <w:bookmarkEnd w:id="32"/>
      <w:bookmarkEnd w:id="33"/>
      <w:bookmarkEnd w:id="34"/>
    </w:p>
    <w:p>
      <w:pPr>
        <w:spacing w:line="600" w:lineRule="exact"/>
        <w:ind w:firstLine="640" w:firstLineChars="200"/>
        <w:outlineLvl w:val="1"/>
        <w:rPr>
          <w:rFonts w:hint="eastAsia" w:ascii="仿宋" w:hAnsi="仿宋" w:eastAsia="仿宋"/>
          <w:b w:val="0"/>
          <w:bCs w:val="0"/>
          <w:sz w:val="32"/>
          <w:szCs w:val="32"/>
        </w:rPr>
      </w:pPr>
      <w:bookmarkStart w:id="35" w:name="_Toc4287"/>
      <w:r>
        <w:rPr>
          <w:rFonts w:hint="eastAsia" w:ascii="仿宋" w:hAnsi="仿宋" w:eastAsia="仿宋"/>
          <w:b w:val="0"/>
          <w:bCs w:val="0"/>
          <w:sz w:val="32"/>
          <w:szCs w:val="32"/>
        </w:rPr>
        <w:t>2023年度本年支出合计</w:t>
      </w:r>
      <w:r>
        <w:rPr>
          <w:rFonts w:ascii="仿宋" w:hAnsi="仿宋" w:eastAsia="仿宋"/>
          <w:b w:val="0"/>
          <w:bCs w:val="0"/>
          <w:sz w:val="32"/>
          <w:szCs w:val="32"/>
        </w:rPr>
        <w:t>231.05</w:t>
      </w:r>
      <w:r>
        <w:rPr>
          <w:rFonts w:hint="eastAsia" w:ascii="仿宋" w:hAnsi="仿宋" w:eastAsia="仿宋"/>
          <w:b w:val="0"/>
          <w:bCs w:val="0"/>
          <w:sz w:val="32"/>
          <w:szCs w:val="32"/>
        </w:rPr>
        <w:t>万元，其中：基本支出</w:t>
      </w:r>
      <w:r>
        <w:rPr>
          <w:rFonts w:ascii="仿宋" w:hAnsi="仿宋" w:eastAsia="仿宋"/>
          <w:b w:val="0"/>
          <w:bCs w:val="0"/>
          <w:sz w:val="32"/>
          <w:szCs w:val="32"/>
        </w:rPr>
        <w:t>201.05</w:t>
      </w:r>
      <w:r>
        <w:rPr>
          <w:rFonts w:hint="eastAsia" w:ascii="仿宋" w:hAnsi="仿宋" w:eastAsia="仿宋"/>
          <w:b w:val="0"/>
          <w:bCs w:val="0"/>
          <w:sz w:val="32"/>
          <w:szCs w:val="32"/>
        </w:rPr>
        <w:t>万元，占</w:t>
      </w:r>
      <w:r>
        <w:rPr>
          <w:rFonts w:ascii="仿宋" w:hAnsi="仿宋" w:eastAsia="仿宋"/>
          <w:b w:val="0"/>
          <w:bCs w:val="0"/>
          <w:sz w:val="32"/>
          <w:szCs w:val="32"/>
        </w:rPr>
        <w:t>87.01%</w:t>
      </w:r>
      <w:r>
        <w:rPr>
          <w:rFonts w:hint="eastAsia" w:ascii="仿宋" w:hAnsi="仿宋" w:eastAsia="仿宋"/>
          <w:b w:val="0"/>
          <w:bCs w:val="0"/>
          <w:sz w:val="32"/>
          <w:szCs w:val="32"/>
        </w:rPr>
        <w:t>；项目支出</w:t>
      </w:r>
      <w:r>
        <w:rPr>
          <w:rFonts w:ascii="仿宋" w:hAnsi="仿宋" w:eastAsia="仿宋"/>
          <w:b w:val="0"/>
          <w:bCs w:val="0"/>
          <w:sz w:val="32"/>
          <w:szCs w:val="32"/>
        </w:rPr>
        <w:t>30</w:t>
      </w:r>
      <w:r>
        <w:rPr>
          <w:rFonts w:hint="eastAsia" w:ascii="仿宋" w:hAnsi="仿宋" w:eastAsia="仿宋"/>
          <w:b w:val="0"/>
          <w:bCs w:val="0"/>
          <w:sz w:val="32"/>
          <w:szCs w:val="32"/>
        </w:rPr>
        <w:t>万元，占</w:t>
      </w:r>
      <w:r>
        <w:rPr>
          <w:rFonts w:ascii="仿宋" w:hAnsi="仿宋" w:eastAsia="仿宋"/>
          <w:b w:val="0"/>
          <w:bCs w:val="0"/>
          <w:sz w:val="32"/>
          <w:szCs w:val="32"/>
        </w:rPr>
        <w:t>12.98%</w:t>
      </w:r>
      <w:r>
        <w:rPr>
          <w:rFonts w:hint="eastAsia" w:ascii="仿宋" w:hAnsi="仿宋" w:eastAsia="仿宋"/>
          <w:b w:val="0"/>
          <w:bCs w:val="0"/>
          <w:sz w:val="32"/>
          <w:szCs w:val="32"/>
        </w:rPr>
        <w:t>；上缴上级支出</w:t>
      </w:r>
      <w:r>
        <w:rPr>
          <w:rFonts w:ascii="仿宋" w:hAnsi="仿宋" w:eastAsia="仿宋"/>
          <w:b w:val="0"/>
          <w:bCs w:val="0"/>
          <w:sz w:val="32"/>
          <w:szCs w:val="32"/>
        </w:rPr>
        <w:t>0</w:t>
      </w:r>
      <w:r>
        <w:rPr>
          <w:rFonts w:hint="eastAsia" w:ascii="仿宋" w:hAnsi="仿宋" w:eastAsia="仿宋"/>
          <w:b w:val="0"/>
          <w:bCs w:val="0"/>
          <w:sz w:val="32"/>
          <w:szCs w:val="32"/>
        </w:rPr>
        <w:t>万元，占0</w:t>
      </w:r>
      <w:r>
        <w:rPr>
          <w:rFonts w:ascii="仿宋" w:hAnsi="仿宋" w:eastAsia="仿宋"/>
          <w:b w:val="0"/>
          <w:bCs w:val="0"/>
          <w:sz w:val="32"/>
          <w:szCs w:val="32"/>
        </w:rPr>
        <w:t>%</w:t>
      </w:r>
      <w:r>
        <w:rPr>
          <w:rFonts w:hint="eastAsia" w:ascii="仿宋" w:hAnsi="仿宋" w:eastAsia="仿宋"/>
          <w:b w:val="0"/>
          <w:bCs w:val="0"/>
          <w:sz w:val="32"/>
          <w:szCs w:val="32"/>
        </w:rPr>
        <w:t>；经营支出</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；对附属单位补助支出</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w:t>
      </w:r>
      <w:bookmarkEnd w:id="35"/>
    </w:p>
    <w:p>
      <w:pPr>
        <w:pStyle w:val="2"/>
        <w:ind w:left="0" w:leftChars="0" w:firstLine="0" w:firstLineChars="0"/>
        <w:rPr>
          <w:rFonts w:ascii="仿宋" w:hAnsi="仿宋" w:eastAsia="仿宋"/>
          <w:sz w:val="32"/>
          <w:szCs w:val="32"/>
          <w:shd w:val="pct10" w:color="auto" w:fill="FFFFFF"/>
        </w:rPr>
      </w:pPr>
      <w:r>
        <w:drawing>
          <wp:inline distT="0" distB="0" distL="114300" distR="114300">
            <wp:extent cx="4848225" cy="2571750"/>
            <wp:effectExtent l="4445" t="4445" r="5080"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outlineLvl w:val="1"/>
        <w:rPr>
          <w:rStyle w:val="28"/>
          <w:rFonts w:ascii="黑体" w:hAnsi="黑体" w:eastAsia="黑体"/>
          <w:b w:val="0"/>
        </w:rPr>
      </w:pPr>
      <w:bookmarkStart w:id="36" w:name="_Toc15377208"/>
      <w:bookmarkStart w:id="37" w:name="_Toc15396606"/>
      <w:bookmarkStart w:id="38" w:name="_Toc27450"/>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6"/>
      <w:bookmarkEnd w:id="37"/>
      <w:bookmarkEnd w:id="38"/>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2023年度财政拨款收、支总计均</w:t>
      </w:r>
      <w:r>
        <w:rPr>
          <w:rFonts w:hint="eastAsia" w:ascii="仿宋" w:hAnsi="仿宋" w:eastAsia="仿宋"/>
          <w:b w:val="0"/>
          <w:bCs w:val="0"/>
          <w:sz w:val="32"/>
          <w:szCs w:val="32"/>
        </w:rPr>
        <w:t>为</w:t>
      </w:r>
      <w:r>
        <w:rPr>
          <w:rFonts w:ascii="仿宋" w:hAnsi="仿宋" w:eastAsia="仿宋"/>
          <w:b w:val="0"/>
          <w:bCs w:val="0"/>
          <w:sz w:val="32"/>
          <w:szCs w:val="32"/>
        </w:rPr>
        <w:t>231.05</w:t>
      </w:r>
      <w:r>
        <w:rPr>
          <w:rFonts w:hint="eastAsia" w:ascii="仿宋" w:hAnsi="仿宋" w:eastAsia="仿宋"/>
          <w:sz w:val="32"/>
          <w:szCs w:val="32"/>
        </w:rPr>
        <w:t>万元。与2022年度相比，财政拨款收、支总计各减少</w:t>
      </w:r>
      <w:r>
        <w:rPr>
          <w:rFonts w:hint="eastAsia" w:ascii="仿宋" w:hAnsi="仿宋" w:eastAsia="仿宋"/>
          <w:sz w:val="32"/>
          <w:szCs w:val="32"/>
          <w:lang w:val="en-US" w:eastAsia="zh-CN"/>
        </w:rPr>
        <w:t>121.75</w:t>
      </w:r>
      <w:r>
        <w:rPr>
          <w:rFonts w:hint="eastAsia" w:ascii="仿宋" w:hAnsi="仿宋" w:eastAsia="仿宋"/>
          <w:sz w:val="32"/>
          <w:szCs w:val="32"/>
        </w:rPr>
        <w:t>万元，下降</w:t>
      </w:r>
      <w:r>
        <w:rPr>
          <w:rFonts w:hint="eastAsia" w:ascii="仿宋" w:hAnsi="仿宋" w:eastAsia="仿宋"/>
          <w:sz w:val="32"/>
          <w:szCs w:val="32"/>
          <w:lang w:val="en-US" w:eastAsia="zh-CN"/>
        </w:rPr>
        <w:t>34.5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2023年我单位省、</w:t>
      </w:r>
      <w:r>
        <w:rPr>
          <w:rFonts w:hint="eastAsia" w:ascii="仿宋_GB2312" w:hAnsi="仿宋" w:eastAsia="仿宋_GB2312"/>
          <w:sz w:val="32"/>
          <w:szCs w:val="32"/>
          <w:lang w:val="en-US" w:eastAsia="zh-CN"/>
        </w:rPr>
        <w:t>市级知识产权资助资金减少。</w:t>
      </w:r>
    </w:p>
    <w:p>
      <w:pPr>
        <w:pStyle w:val="2"/>
        <w:ind w:left="0" w:leftChars="0" w:firstLine="0" w:firstLineChars="0"/>
        <w:rPr>
          <w:rFonts w:ascii="仿宋" w:hAnsi="仿宋" w:eastAsia="仿宋"/>
          <w:sz w:val="32"/>
          <w:szCs w:val="32"/>
        </w:rPr>
      </w:pPr>
      <w:r>
        <w:drawing>
          <wp:inline distT="0" distB="0" distL="114300" distR="114300">
            <wp:extent cx="4848225" cy="2743200"/>
            <wp:effectExtent l="4445" t="4445" r="5080" b="14605"/>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outlineLvl w:val="1"/>
        <w:rPr>
          <w:rStyle w:val="28"/>
          <w:rFonts w:ascii="黑体" w:hAnsi="黑体" w:eastAsia="黑体"/>
          <w:b w:val="0"/>
        </w:rPr>
      </w:pPr>
      <w:bookmarkStart w:id="39" w:name="_Toc15377209"/>
      <w:bookmarkStart w:id="40" w:name="_Toc966"/>
      <w:bookmarkStart w:id="41"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9"/>
      <w:bookmarkEnd w:id="40"/>
      <w:bookmarkEnd w:id="41"/>
    </w:p>
    <w:p>
      <w:pPr>
        <w:spacing w:line="600" w:lineRule="exact"/>
        <w:ind w:firstLine="643" w:firstLineChars="200"/>
        <w:outlineLvl w:val="2"/>
        <w:rPr>
          <w:rFonts w:ascii="仿宋" w:hAnsi="仿宋" w:eastAsia="仿宋"/>
          <w:b/>
          <w:sz w:val="32"/>
          <w:szCs w:val="32"/>
        </w:rPr>
      </w:pPr>
      <w:bookmarkStart w:id="42" w:name="_Toc15377210"/>
      <w:r>
        <w:rPr>
          <w:rFonts w:hint="eastAsia" w:ascii="仿宋" w:hAnsi="仿宋" w:eastAsia="仿宋"/>
          <w:b/>
          <w:sz w:val="32"/>
          <w:szCs w:val="32"/>
        </w:rPr>
        <w:t>（一）一般公共预算财政拨款支出决算总体情况</w:t>
      </w:r>
      <w:bookmarkEnd w:id="42"/>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rPr>
        <w:t>2023年度一般公共预算财政拨款支出</w:t>
      </w:r>
      <w:r>
        <w:rPr>
          <w:rFonts w:ascii="仿宋" w:hAnsi="仿宋" w:eastAsia="仿宋"/>
          <w:b w:val="0"/>
          <w:bCs w:val="0"/>
          <w:sz w:val="32"/>
          <w:szCs w:val="32"/>
        </w:rPr>
        <w:t>231.05</w:t>
      </w:r>
      <w:r>
        <w:rPr>
          <w:rFonts w:hint="eastAsia" w:ascii="仿宋" w:hAnsi="仿宋" w:eastAsia="仿宋"/>
          <w:b w:val="0"/>
          <w:bCs w:val="0"/>
          <w:sz w:val="32"/>
          <w:szCs w:val="32"/>
        </w:rPr>
        <w:t>万元，占本年支出合计的</w:t>
      </w:r>
      <w:r>
        <w:rPr>
          <w:rFonts w:ascii="仿宋" w:hAnsi="仿宋" w:eastAsia="仿宋"/>
          <w:b w:val="0"/>
          <w:bCs w:val="0"/>
          <w:sz w:val="32"/>
          <w:szCs w:val="32"/>
        </w:rPr>
        <w:t>100%</w:t>
      </w:r>
      <w:r>
        <w:rPr>
          <w:rFonts w:hint="eastAsia" w:ascii="仿宋" w:hAnsi="仿宋" w:eastAsia="仿宋"/>
          <w:b w:val="0"/>
          <w:bCs w:val="0"/>
          <w:sz w:val="32"/>
          <w:szCs w:val="32"/>
        </w:rPr>
        <w:t>。与2022年度相比，一般公共预算财政拨款支出减少</w:t>
      </w:r>
      <w:r>
        <w:rPr>
          <w:rFonts w:hint="eastAsia" w:ascii="仿宋" w:hAnsi="仿宋" w:eastAsia="仿宋"/>
          <w:b w:val="0"/>
          <w:bCs w:val="0"/>
          <w:sz w:val="32"/>
          <w:szCs w:val="32"/>
          <w:lang w:val="en-US" w:eastAsia="zh-CN"/>
        </w:rPr>
        <w:t>121.75</w:t>
      </w:r>
      <w:r>
        <w:rPr>
          <w:rFonts w:hint="eastAsia" w:ascii="仿宋" w:hAnsi="仿宋" w:eastAsia="仿宋"/>
          <w:b w:val="0"/>
          <w:bCs w:val="0"/>
          <w:sz w:val="32"/>
          <w:szCs w:val="32"/>
        </w:rPr>
        <w:t>万元，下降</w:t>
      </w:r>
      <w:r>
        <w:rPr>
          <w:rFonts w:hint="eastAsia" w:ascii="仿宋" w:hAnsi="仿宋" w:eastAsia="仿宋"/>
          <w:b w:val="0"/>
          <w:bCs w:val="0"/>
          <w:sz w:val="32"/>
          <w:szCs w:val="32"/>
          <w:lang w:val="en-US" w:eastAsia="zh-CN"/>
        </w:rPr>
        <w:t>34.5</w:t>
      </w:r>
      <w:r>
        <w:rPr>
          <w:rFonts w:ascii="仿宋" w:hAnsi="仿宋" w:eastAsia="仿宋"/>
          <w:b w:val="0"/>
          <w:bCs w:val="0"/>
          <w:sz w:val="32"/>
          <w:szCs w:val="32"/>
        </w:rPr>
        <w:t>%</w:t>
      </w:r>
      <w:r>
        <w:rPr>
          <w:rFonts w:hint="eastAsia" w:ascii="仿宋" w:hAnsi="仿宋" w:eastAsia="仿宋"/>
          <w:b w:val="0"/>
          <w:bCs w:val="0"/>
          <w:sz w:val="32"/>
          <w:szCs w:val="32"/>
        </w:rPr>
        <w:t>。主要变动原因是</w:t>
      </w:r>
      <w:r>
        <w:rPr>
          <w:rFonts w:hint="eastAsia" w:ascii="仿宋" w:hAnsi="仿宋" w:eastAsia="仿宋"/>
          <w:sz w:val="32"/>
          <w:szCs w:val="32"/>
          <w:lang w:val="en-US" w:eastAsia="zh-CN"/>
        </w:rPr>
        <w:t>2023年我单位省、</w:t>
      </w:r>
      <w:r>
        <w:rPr>
          <w:rFonts w:hint="eastAsia" w:ascii="仿宋_GB2312" w:hAnsi="仿宋" w:eastAsia="仿宋_GB2312"/>
          <w:sz w:val="32"/>
          <w:szCs w:val="32"/>
          <w:lang w:val="en-US" w:eastAsia="zh-CN"/>
        </w:rPr>
        <w:t>市级知识产权资助资金减少。</w:t>
      </w:r>
    </w:p>
    <w:p>
      <w:pPr>
        <w:pStyle w:val="2"/>
        <w:ind w:left="0" w:leftChars="0" w:firstLine="0" w:firstLineChars="0"/>
        <w:rPr>
          <w:rFonts w:ascii="仿宋" w:hAnsi="仿宋" w:eastAsia="仿宋"/>
          <w:sz w:val="32"/>
          <w:szCs w:val="32"/>
        </w:rPr>
      </w:pPr>
      <w:r>
        <w:drawing>
          <wp:inline distT="0" distB="0" distL="114300" distR="114300">
            <wp:extent cx="4848225" cy="2743200"/>
            <wp:effectExtent l="4445" t="4445" r="5080" b="14605"/>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3" w:firstLineChars="200"/>
        <w:outlineLvl w:val="2"/>
        <w:rPr>
          <w:rFonts w:ascii="仿宋" w:hAnsi="仿宋" w:eastAsia="仿宋"/>
          <w:b/>
          <w:sz w:val="32"/>
          <w:szCs w:val="32"/>
        </w:rPr>
      </w:pPr>
      <w:bookmarkStart w:id="43" w:name="_Toc15377211"/>
      <w:r>
        <w:rPr>
          <w:rFonts w:hint="eastAsia" w:ascii="仿宋" w:hAnsi="仿宋" w:eastAsia="仿宋"/>
          <w:b/>
          <w:sz w:val="32"/>
          <w:szCs w:val="32"/>
        </w:rPr>
        <w:t>（二）一般公共预算财政拨款支出决算结构情况</w:t>
      </w:r>
      <w:bookmarkEnd w:id="43"/>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val="0"/>
          <w:bCs/>
          <w:sz w:val="32"/>
          <w:szCs w:val="32"/>
        </w:rPr>
        <w:t>231.05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182.58</w:t>
      </w:r>
      <w:r>
        <w:rPr>
          <w:rFonts w:hint="eastAsia" w:ascii="仿宋" w:hAnsi="仿宋" w:eastAsia="仿宋"/>
          <w:sz w:val="32"/>
          <w:szCs w:val="32"/>
        </w:rPr>
        <w:t>万元，占</w:t>
      </w:r>
      <w:r>
        <w:rPr>
          <w:rFonts w:hint="eastAsia" w:ascii="仿宋" w:hAnsi="仿宋" w:eastAsia="仿宋"/>
          <w:sz w:val="32"/>
          <w:szCs w:val="32"/>
          <w:lang w:val="en-US" w:eastAsia="zh-CN"/>
        </w:rPr>
        <w:t>79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cs="Times New Roman"/>
          <w:sz w:val="32"/>
          <w:szCs w:val="32"/>
          <w:lang w:val="en-US" w:eastAsia="zh-CN"/>
        </w:rPr>
        <w:t>0万元，占0%</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29.44</w:t>
      </w:r>
      <w:r>
        <w:rPr>
          <w:rFonts w:hint="eastAsia" w:ascii="仿宋" w:hAnsi="仿宋" w:eastAsia="仿宋"/>
          <w:sz w:val="32"/>
          <w:szCs w:val="32"/>
        </w:rPr>
        <w:t>万元，占</w:t>
      </w:r>
      <w:r>
        <w:rPr>
          <w:rFonts w:hint="eastAsia" w:ascii="仿宋" w:hAnsi="仿宋" w:eastAsia="仿宋"/>
          <w:sz w:val="32"/>
          <w:szCs w:val="32"/>
          <w:lang w:val="en-US" w:eastAsia="zh-CN"/>
        </w:rPr>
        <w:t>12.8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5.14</w:t>
      </w:r>
      <w:r>
        <w:rPr>
          <w:rFonts w:hint="eastAsia" w:ascii="仿宋" w:hAnsi="仿宋" w:eastAsia="仿宋"/>
          <w:sz w:val="32"/>
          <w:szCs w:val="32"/>
        </w:rPr>
        <w:t>万元，占</w:t>
      </w:r>
      <w:r>
        <w:rPr>
          <w:rFonts w:hint="eastAsia" w:ascii="仿宋" w:hAnsi="仿宋" w:eastAsia="仿宋"/>
          <w:sz w:val="32"/>
          <w:szCs w:val="32"/>
          <w:lang w:val="en-US" w:eastAsia="zh-CN"/>
        </w:rPr>
        <w:t>2.2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13.89</w:t>
      </w:r>
      <w:r>
        <w:rPr>
          <w:rFonts w:hint="eastAsia" w:ascii="仿宋" w:hAnsi="仿宋" w:eastAsia="仿宋"/>
          <w:sz w:val="32"/>
          <w:szCs w:val="32"/>
        </w:rPr>
        <w:t>万元，占</w:t>
      </w:r>
      <w:r>
        <w:rPr>
          <w:rFonts w:hint="eastAsia" w:ascii="仿宋" w:hAnsi="仿宋" w:eastAsia="仿宋"/>
          <w:sz w:val="32"/>
          <w:szCs w:val="32"/>
          <w:lang w:val="en-US" w:eastAsia="zh-CN"/>
        </w:rPr>
        <w:t>6</w:t>
      </w:r>
      <w:r>
        <w:rPr>
          <w:rFonts w:ascii="仿宋" w:hAnsi="仿宋" w:eastAsia="仿宋"/>
          <w:sz w:val="32"/>
          <w:szCs w:val="32"/>
        </w:rPr>
        <w:t>%</w:t>
      </w:r>
      <w:r>
        <w:rPr>
          <w:rFonts w:hint="eastAsia" w:ascii="仿宋" w:hAnsi="仿宋" w:eastAsia="仿宋"/>
          <w:sz w:val="32"/>
          <w:szCs w:val="32"/>
        </w:rPr>
        <w:t>。</w:t>
      </w:r>
    </w:p>
    <w:p>
      <w:pPr>
        <w:pStyle w:val="2"/>
        <w:ind w:left="0" w:leftChars="0" w:firstLine="0" w:firstLineChars="0"/>
        <w:rPr>
          <w:rFonts w:ascii="仿宋" w:hAnsi="仿宋" w:eastAsia="仿宋"/>
          <w:sz w:val="32"/>
          <w:szCs w:val="32"/>
        </w:rPr>
      </w:pPr>
      <w:r>
        <w:drawing>
          <wp:inline distT="0" distB="0" distL="114300" distR="114300">
            <wp:extent cx="4848225" cy="2743200"/>
            <wp:effectExtent l="4445" t="4445" r="5080" b="1460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3" w:firstLineChars="200"/>
        <w:outlineLvl w:val="2"/>
        <w:rPr>
          <w:rFonts w:ascii="仿宋" w:hAnsi="仿宋" w:eastAsia="仿宋"/>
          <w:b/>
          <w:sz w:val="32"/>
          <w:szCs w:val="32"/>
        </w:rPr>
      </w:pPr>
      <w:bookmarkStart w:id="44" w:name="_Toc15377212"/>
      <w:r>
        <w:rPr>
          <w:rFonts w:hint="eastAsia" w:ascii="仿宋" w:hAnsi="仿宋" w:eastAsia="仿宋"/>
          <w:b/>
          <w:sz w:val="32"/>
          <w:szCs w:val="32"/>
        </w:rPr>
        <w:t>（三）一般公共预算财政拨款支出决算具体情况</w:t>
      </w:r>
      <w:bookmarkEnd w:id="44"/>
    </w:p>
    <w:p>
      <w:pPr>
        <w:spacing w:line="600" w:lineRule="exact"/>
        <w:ind w:firstLine="640" w:firstLineChars="200"/>
        <w:outlineLvl w:val="2"/>
        <w:rPr>
          <w:rFonts w:ascii="仿宋" w:hAnsi="仿宋" w:eastAsia="仿宋"/>
          <w:b w:val="0"/>
          <w:bCs/>
          <w:sz w:val="32"/>
          <w:szCs w:val="32"/>
        </w:rPr>
      </w:pPr>
      <w:bookmarkStart w:id="45" w:name="_Toc15378460"/>
      <w:bookmarkStart w:id="46" w:name="_Toc15377213"/>
      <w:bookmarkStart w:id="47" w:name="_Toc15377444"/>
      <w:r>
        <w:rPr>
          <w:rFonts w:hint="eastAsia" w:ascii="仿宋" w:hAnsi="仿宋" w:eastAsia="仿宋"/>
          <w:b w:val="0"/>
          <w:bCs/>
          <w:sz w:val="32"/>
          <w:szCs w:val="32"/>
        </w:rPr>
        <w:t>2023年度一般公共预算支出决算数为</w:t>
      </w:r>
      <w:r>
        <w:rPr>
          <w:rFonts w:ascii="仿宋" w:hAnsi="仿宋" w:eastAsia="仿宋"/>
          <w:b w:val="0"/>
          <w:bCs/>
          <w:sz w:val="32"/>
          <w:szCs w:val="32"/>
        </w:rPr>
        <w:t>231.05</w:t>
      </w:r>
      <w:r>
        <w:rPr>
          <w:rFonts w:hint="eastAsia" w:ascii="仿宋" w:hAnsi="仿宋" w:eastAsia="仿宋"/>
          <w:b w:val="0"/>
          <w:bCs/>
          <w:sz w:val="32"/>
          <w:szCs w:val="32"/>
          <w:lang w:eastAsia="zh-CN"/>
        </w:rPr>
        <w:t>万元</w:t>
      </w:r>
      <w:r>
        <w:rPr>
          <w:rFonts w:hint="eastAsia" w:ascii="仿宋" w:hAnsi="仿宋" w:eastAsia="仿宋"/>
          <w:b w:val="0"/>
          <w:bCs/>
          <w:sz w:val="32"/>
          <w:szCs w:val="32"/>
        </w:rPr>
        <w:t>，</w:t>
      </w:r>
      <w:r>
        <w:rPr>
          <w:rStyle w:val="16"/>
          <w:rFonts w:hint="eastAsia" w:ascii="仿宋" w:hAnsi="仿宋" w:eastAsia="仿宋"/>
          <w:b w:val="0"/>
          <w:bCs/>
          <w:sz w:val="32"/>
          <w:szCs w:val="32"/>
        </w:rPr>
        <w:t>完成预算</w:t>
      </w:r>
      <w:r>
        <w:rPr>
          <w:rStyle w:val="16"/>
          <w:rFonts w:hint="eastAsia" w:ascii="仿宋" w:hAnsi="仿宋" w:eastAsia="仿宋"/>
          <w:b w:val="0"/>
          <w:bCs/>
          <w:sz w:val="32"/>
          <w:szCs w:val="32"/>
          <w:lang w:val="en-US" w:eastAsia="zh-CN"/>
        </w:rPr>
        <w:t>61.28</w:t>
      </w:r>
      <w:r>
        <w:rPr>
          <w:rStyle w:val="16"/>
          <w:rFonts w:ascii="仿宋" w:hAnsi="仿宋" w:eastAsia="仿宋"/>
          <w:b w:val="0"/>
          <w:bCs/>
          <w:sz w:val="32"/>
          <w:szCs w:val="32"/>
        </w:rPr>
        <w:t>%</w:t>
      </w:r>
      <w:r>
        <w:rPr>
          <w:rStyle w:val="16"/>
          <w:rFonts w:hint="eastAsia" w:ascii="仿宋" w:hAnsi="仿宋" w:eastAsia="仿宋"/>
          <w:b w:val="0"/>
          <w:bCs/>
          <w:sz w:val="32"/>
          <w:szCs w:val="32"/>
        </w:rPr>
        <w:t>。其中：</w:t>
      </w:r>
      <w:bookmarkEnd w:id="45"/>
      <w:bookmarkEnd w:id="46"/>
      <w:bookmarkEnd w:id="47"/>
    </w:p>
    <w:p>
      <w:pPr>
        <w:spacing w:line="600" w:lineRule="exact"/>
        <w:ind w:firstLine="643" w:firstLineChars="200"/>
        <w:rPr>
          <w:rFonts w:ascii="仿宋" w:hAnsi="仿宋" w:eastAsia="仿宋"/>
          <w:b/>
          <w:bCs w:val="0"/>
          <w:sz w:val="32"/>
          <w:szCs w:val="32"/>
        </w:rPr>
      </w:pPr>
      <w:r>
        <w:rPr>
          <w:rStyle w:val="16"/>
          <w:rFonts w:ascii="仿宋" w:hAnsi="仿宋" w:eastAsia="仿宋"/>
          <w:bCs/>
          <w:sz w:val="32"/>
          <w:szCs w:val="32"/>
        </w:rPr>
        <w:t>1.</w:t>
      </w:r>
      <w:r>
        <w:rPr>
          <w:rStyle w:val="16"/>
          <w:rFonts w:hint="eastAsia" w:ascii="仿宋" w:hAnsi="仿宋" w:eastAsia="仿宋"/>
          <w:bCs/>
          <w:sz w:val="32"/>
          <w:szCs w:val="32"/>
        </w:rPr>
        <w:t>一般公共服务（类）</w:t>
      </w:r>
      <w:r>
        <w:rPr>
          <w:rStyle w:val="16"/>
          <w:rFonts w:hint="eastAsia" w:ascii="仿宋" w:hAnsi="仿宋" w:eastAsia="仿宋"/>
          <w:bCs/>
          <w:sz w:val="32"/>
          <w:szCs w:val="32"/>
          <w:lang w:eastAsia="zh-CN"/>
        </w:rPr>
        <w:t>知识产权事务</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行政运行</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152.58</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，决算数小于</w:t>
      </w:r>
      <w:r>
        <w:rPr>
          <w:rStyle w:val="16"/>
          <w:rFonts w:ascii="仿宋" w:hAnsi="仿宋" w:eastAsia="仿宋"/>
          <w:b w:val="0"/>
          <w:bCs/>
          <w:sz w:val="32"/>
          <w:szCs w:val="32"/>
        </w:rPr>
        <w:t>/</w:t>
      </w:r>
      <w:r>
        <w:rPr>
          <w:rStyle w:val="16"/>
          <w:rFonts w:hint="eastAsia" w:ascii="仿宋" w:hAnsi="仿宋" w:eastAsia="仿宋"/>
          <w:b w:val="0"/>
          <w:bCs/>
          <w:sz w:val="32"/>
          <w:szCs w:val="32"/>
        </w:rPr>
        <w:t>等于预算数的主要原因是…</w:t>
      </w:r>
      <w:r>
        <w:rPr>
          <w:rStyle w:val="16"/>
          <w:rFonts w:hint="eastAsia" w:ascii="仿宋" w:hAnsi="仿宋" w:eastAsia="仿宋"/>
          <w:b w:val="0"/>
          <w:bCs/>
          <w:sz w:val="32"/>
          <w:szCs w:val="32"/>
          <w:lang w:eastAsia="zh-CN"/>
        </w:rPr>
        <w:t>；</w:t>
      </w:r>
      <w:r>
        <w:rPr>
          <w:rStyle w:val="16"/>
          <w:rFonts w:hint="eastAsia" w:ascii="仿宋" w:hAnsi="仿宋" w:eastAsia="仿宋"/>
          <w:bCs/>
          <w:sz w:val="32"/>
          <w:szCs w:val="32"/>
        </w:rPr>
        <w:t>一般公共服务（类）</w:t>
      </w:r>
      <w:r>
        <w:rPr>
          <w:rStyle w:val="16"/>
          <w:rFonts w:hint="eastAsia" w:ascii="仿宋" w:hAnsi="仿宋" w:eastAsia="仿宋"/>
          <w:bCs/>
          <w:sz w:val="32"/>
          <w:szCs w:val="32"/>
          <w:lang w:eastAsia="zh-CN"/>
        </w:rPr>
        <w:t>知识产权事务</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其他知识产权事务支出</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30</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17</w:t>
      </w:r>
      <w:r>
        <w:rPr>
          <w:rStyle w:val="16"/>
          <w:rFonts w:ascii="仿宋" w:hAnsi="仿宋" w:eastAsia="仿宋"/>
          <w:b w:val="0"/>
          <w:bCs/>
          <w:sz w:val="32"/>
          <w:szCs w:val="32"/>
        </w:rPr>
        <w:t>%</w:t>
      </w:r>
      <w:r>
        <w:rPr>
          <w:rStyle w:val="16"/>
          <w:rFonts w:hint="eastAsia" w:ascii="仿宋" w:hAnsi="仿宋" w:eastAsia="仿宋"/>
          <w:b w:val="0"/>
          <w:bCs/>
          <w:sz w:val="32"/>
          <w:szCs w:val="32"/>
        </w:rPr>
        <w:t>，决算数小于预算数的主要原因是</w:t>
      </w:r>
      <w:r>
        <w:rPr>
          <w:rStyle w:val="16"/>
          <w:rFonts w:hint="eastAsia" w:ascii="仿宋" w:hAnsi="仿宋" w:eastAsia="仿宋"/>
          <w:b w:val="0"/>
          <w:bCs/>
          <w:sz w:val="32"/>
          <w:szCs w:val="32"/>
          <w:lang w:val="en-US" w:eastAsia="zh-CN"/>
        </w:rPr>
        <w:t>2023年</w:t>
      </w:r>
      <w:r>
        <w:rPr>
          <w:rStyle w:val="16"/>
          <w:rFonts w:hint="eastAsia" w:ascii="仿宋" w:hAnsi="仿宋" w:eastAsia="仿宋"/>
          <w:b w:val="0"/>
          <w:bCs/>
          <w:sz w:val="32"/>
          <w:szCs w:val="32"/>
          <w:lang w:eastAsia="zh-CN"/>
        </w:rPr>
        <w:t>省级知识产权专项资金</w:t>
      </w:r>
      <w:r>
        <w:rPr>
          <w:rStyle w:val="16"/>
          <w:rFonts w:hint="eastAsia" w:ascii="仿宋" w:hAnsi="仿宋" w:eastAsia="仿宋"/>
          <w:b w:val="0"/>
          <w:bCs/>
          <w:sz w:val="32"/>
          <w:szCs w:val="32"/>
          <w:lang w:val="en-US" w:eastAsia="zh-CN"/>
        </w:rPr>
        <w:t>96万元</w:t>
      </w:r>
      <w:r>
        <w:rPr>
          <w:rStyle w:val="16"/>
          <w:rFonts w:hint="eastAsia" w:ascii="仿宋" w:hAnsi="仿宋" w:eastAsia="仿宋"/>
          <w:b w:val="0"/>
          <w:bCs/>
          <w:sz w:val="32"/>
          <w:szCs w:val="32"/>
          <w:lang w:eastAsia="zh-CN"/>
        </w:rPr>
        <w:t>未支付，结转到</w:t>
      </w:r>
      <w:r>
        <w:rPr>
          <w:rStyle w:val="16"/>
          <w:rFonts w:hint="eastAsia" w:ascii="仿宋" w:hAnsi="仿宋" w:eastAsia="仿宋"/>
          <w:b w:val="0"/>
          <w:bCs/>
          <w:sz w:val="32"/>
          <w:szCs w:val="32"/>
          <w:lang w:val="en-US" w:eastAsia="zh-CN"/>
        </w:rPr>
        <w:t>2024年支付；市级财政资金紧张，进行预算调整，未下达国家知识产权试点城市项目资金50万元。</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2.</w:t>
      </w:r>
      <w:r>
        <w:rPr>
          <w:rStyle w:val="16"/>
          <w:rFonts w:hint="eastAsia" w:ascii="仿宋" w:hAnsi="仿宋" w:eastAsia="仿宋"/>
          <w:bCs/>
          <w:sz w:val="32"/>
          <w:szCs w:val="32"/>
        </w:rPr>
        <w:t>教育（类）</w:t>
      </w:r>
      <w:r>
        <w:rPr>
          <w:rStyle w:val="16"/>
          <w:rFonts w:hint="eastAsia" w:ascii="仿宋" w:hAnsi="仿宋" w:eastAsia="仿宋"/>
          <w:bCs/>
          <w:sz w:val="32"/>
          <w:szCs w:val="32"/>
          <w:lang w:val="en-US" w:eastAsia="zh-CN"/>
        </w:rPr>
        <w:t>0</w:t>
      </w:r>
      <w:r>
        <w:rPr>
          <w:rStyle w:val="16"/>
          <w:rFonts w:hint="eastAsia" w:ascii="仿宋" w:hAnsi="仿宋" w:eastAsia="仿宋"/>
          <w:bCs/>
          <w:sz w:val="32"/>
          <w:szCs w:val="32"/>
        </w:rPr>
        <w:t>（款）</w:t>
      </w:r>
      <w:r>
        <w:rPr>
          <w:rStyle w:val="16"/>
          <w:rFonts w:hint="eastAsia" w:ascii="仿宋" w:hAnsi="仿宋" w:eastAsia="仿宋"/>
          <w:bCs/>
          <w:sz w:val="32"/>
          <w:szCs w:val="32"/>
          <w:lang w:val="en-US" w:eastAsia="zh-CN"/>
        </w:rPr>
        <w:t>0</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0</w:t>
      </w:r>
      <w:r>
        <w:rPr>
          <w:rStyle w:val="16"/>
          <w:rFonts w:ascii="仿宋" w:hAnsi="仿宋" w:eastAsia="仿宋"/>
          <w:b w:val="0"/>
          <w:bCs/>
          <w:sz w:val="32"/>
          <w:szCs w:val="32"/>
        </w:rPr>
        <w:t>%</w:t>
      </w:r>
      <w:r>
        <w:rPr>
          <w:rStyle w:val="16"/>
          <w:rFonts w:hint="eastAsia" w:ascii="仿宋" w:hAnsi="仿宋" w:eastAsia="仿宋"/>
          <w:b w:val="0"/>
          <w:bCs/>
          <w:sz w:val="32"/>
          <w:szCs w:val="32"/>
        </w:rPr>
        <w:t>，决算数小于</w:t>
      </w:r>
      <w:r>
        <w:rPr>
          <w:rStyle w:val="16"/>
          <w:rFonts w:ascii="仿宋" w:hAnsi="仿宋" w:eastAsia="仿宋"/>
          <w:b w:val="0"/>
          <w:bCs/>
          <w:sz w:val="32"/>
          <w:szCs w:val="32"/>
        </w:rPr>
        <w:t>/</w:t>
      </w:r>
      <w:r>
        <w:rPr>
          <w:rStyle w:val="16"/>
          <w:rFonts w:hint="eastAsia" w:ascii="仿宋" w:hAnsi="仿宋" w:eastAsia="仿宋"/>
          <w:b w:val="0"/>
          <w:bCs/>
          <w:sz w:val="32"/>
          <w:szCs w:val="32"/>
        </w:rPr>
        <w:t>等于预算数的主要原因是…。</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3.</w:t>
      </w:r>
      <w:r>
        <w:rPr>
          <w:rStyle w:val="16"/>
          <w:rFonts w:hint="eastAsia" w:ascii="仿宋" w:hAnsi="仿宋" w:eastAsia="仿宋"/>
          <w:bCs/>
          <w:sz w:val="32"/>
          <w:szCs w:val="32"/>
        </w:rPr>
        <w:t>科学技术（类）</w:t>
      </w:r>
      <w:r>
        <w:rPr>
          <w:rStyle w:val="16"/>
          <w:rFonts w:hint="eastAsia" w:ascii="仿宋" w:hAnsi="仿宋" w:eastAsia="仿宋"/>
          <w:bCs/>
          <w:sz w:val="32"/>
          <w:szCs w:val="32"/>
          <w:lang w:val="en-US" w:eastAsia="zh-CN"/>
        </w:rPr>
        <w:t>0</w:t>
      </w:r>
      <w:r>
        <w:rPr>
          <w:rStyle w:val="16"/>
          <w:rFonts w:hint="eastAsia" w:ascii="仿宋" w:hAnsi="仿宋" w:eastAsia="仿宋"/>
          <w:bCs/>
          <w:sz w:val="32"/>
          <w:szCs w:val="32"/>
        </w:rPr>
        <w:t>（款）</w:t>
      </w:r>
      <w:r>
        <w:rPr>
          <w:rStyle w:val="16"/>
          <w:rFonts w:hint="eastAsia" w:ascii="仿宋" w:hAnsi="仿宋" w:eastAsia="仿宋"/>
          <w:bCs/>
          <w:sz w:val="32"/>
          <w:szCs w:val="32"/>
          <w:lang w:val="en-US" w:eastAsia="zh-CN"/>
        </w:rPr>
        <w:t>0</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0</w:t>
      </w:r>
      <w:r>
        <w:rPr>
          <w:rStyle w:val="16"/>
          <w:rFonts w:ascii="仿宋" w:hAnsi="仿宋" w:eastAsia="仿宋"/>
          <w:b w:val="0"/>
          <w:bCs/>
          <w:sz w:val="32"/>
          <w:szCs w:val="32"/>
        </w:rPr>
        <w:t>%</w:t>
      </w:r>
      <w:r>
        <w:rPr>
          <w:rStyle w:val="16"/>
          <w:rFonts w:hint="eastAsia" w:ascii="仿宋" w:hAnsi="仿宋" w:eastAsia="仿宋"/>
          <w:b w:val="0"/>
          <w:bCs/>
          <w:sz w:val="32"/>
          <w:szCs w:val="32"/>
        </w:rPr>
        <w:t>，决算数小于</w:t>
      </w:r>
      <w:r>
        <w:rPr>
          <w:rStyle w:val="16"/>
          <w:rFonts w:ascii="仿宋" w:hAnsi="仿宋" w:eastAsia="仿宋"/>
          <w:b w:val="0"/>
          <w:bCs/>
          <w:sz w:val="32"/>
          <w:szCs w:val="32"/>
        </w:rPr>
        <w:t>/</w:t>
      </w:r>
      <w:r>
        <w:rPr>
          <w:rStyle w:val="16"/>
          <w:rFonts w:hint="eastAsia" w:ascii="仿宋" w:hAnsi="仿宋" w:eastAsia="仿宋"/>
          <w:b w:val="0"/>
          <w:bCs/>
          <w:sz w:val="32"/>
          <w:szCs w:val="32"/>
        </w:rPr>
        <w:t>等于预算数的主要原因是…。</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4.</w:t>
      </w:r>
      <w:r>
        <w:rPr>
          <w:rStyle w:val="16"/>
          <w:rFonts w:hint="eastAsia" w:ascii="仿宋" w:hAnsi="仿宋" w:eastAsia="仿宋"/>
          <w:bCs/>
          <w:sz w:val="32"/>
          <w:szCs w:val="32"/>
        </w:rPr>
        <w:t>文化旅游体育与传媒（类）</w:t>
      </w:r>
      <w:r>
        <w:rPr>
          <w:rStyle w:val="16"/>
          <w:rFonts w:hint="eastAsia" w:ascii="仿宋" w:hAnsi="仿宋" w:eastAsia="仿宋"/>
          <w:bCs/>
          <w:sz w:val="32"/>
          <w:szCs w:val="32"/>
          <w:lang w:val="en-US" w:eastAsia="zh-CN"/>
        </w:rPr>
        <w:t>0</w:t>
      </w:r>
      <w:r>
        <w:rPr>
          <w:rStyle w:val="16"/>
          <w:rFonts w:hint="eastAsia" w:ascii="仿宋" w:hAnsi="仿宋" w:eastAsia="仿宋"/>
          <w:bCs/>
          <w:sz w:val="32"/>
          <w:szCs w:val="32"/>
        </w:rPr>
        <w:t>（款）</w:t>
      </w:r>
      <w:r>
        <w:rPr>
          <w:rStyle w:val="16"/>
          <w:rFonts w:hint="eastAsia" w:ascii="仿宋" w:hAnsi="仿宋" w:eastAsia="仿宋"/>
          <w:bCs/>
          <w:sz w:val="32"/>
          <w:szCs w:val="32"/>
          <w:lang w:val="en-US" w:eastAsia="zh-CN"/>
        </w:rPr>
        <w:t>0</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0</w:t>
      </w:r>
      <w:r>
        <w:rPr>
          <w:rStyle w:val="16"/>
          <w:rFonts w:ascii="仿宋" w:hAnsi="仿宋" w:eastAsia="仿宋"/>
          <w:b w:val="0"/>
          <w:bCs/>
          <w:sz w:val="32"/>
          <w:szCs w:val="32"/>
        </w:rPr>
        <w:t>%</w:t>
      </w:r>
      <w:r>
        <w:rPr>
          <w:rStyle w:val="16"/>
          <w:rFonts w:hint="eastAsia" w:ascii="仿宋" w:hAnsi="仿宋" w:eastAsia="仿宋"/>
          <w:b w:val="0"/>
          <w:bCs/>
          <w:sz w:val="32"/>
          <w:szCs w:val="32"/>
        </w:rPr>
        <w:t>，决算数小于</w:t>
      </w:r>
      <w:r>
        <w:rPr>
          <w:rStyle w:val="16"/>
          <w:rFonts w:ascii="仿宋" w:hAnsi="仿宋" w:eastAsia="仿宋"/>
          <w:b w:val="0"/>
          <w:bCs/>
          <w:sz w:val="32"/>
          <w:szCs w:val="32"/>
        </w:rPr>
        <w:t>/</w:t>
      </w:r>
      <w:r>
        <w:rPr>
          <w:rStyle w:val="16"/>
          <w:rFonts w:hint="eastAsia" w:ascii="仿宋" w:hAnsi="仿宋" w:eastAsia="仿宋"/>
          <w:b w:val="0"/>
          <w:bCs/>
          <w:sz w:val="32"/>
          <w:szCs w:val="32"/>
        </w:rPr>
        <w:t>等于预算数的主要原因是…。</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5.</w:t>
      </w:r>
      <w:r>
        <w:rPr>
          <w:rStyle w:val="16"/>
          <w:rFonts w:hint="eastAsia" w:ascii="仿宋" w:hAnsi="仿宋" w:eastAsia="仿宋"/>
          <w:bCs/>
          <w:sz w:val="32"/>
          <w:szCs w:val="32"/>
        </w:rPr>
        <w:t>社会保障和就业（类）</w:t>
      </w:r>
      <w:r>
        <w:rPr>
          <w:rStyle w:val="16"/>
          <w:rFonts w:hint="eastAsia" w:ascii="仿宋" w:hAnsi="仿宋" w:eastAsia="仿宋"/>
          <w:bCs/>
          <w:sz w:val="32"/>
          <w:szCs w:val="32"/>
          <w:lang w:eastAsia="zh-CN"/>
        </w:rPr>
        <w:t>行政事业养老支出</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机关事业单位基本养老保险缴费支出</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18.99</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，决算数小于</w:t>
      </w:r>
      <w:r>
        <w:rPr>
          <w:rStyle w:val="16"/>
          <w:rFonts w:ascii="仿宋" w:hAnsi="仿宋" w:eastAsia="仿宋"/>
          <w:b w:val="0"/>
          <w:bCs/>
          <w:sz w:val="32"/>
          <w:szCs w:val="32"/>
        </w:rPr>
        <w:t>/</w:t>
      </w:r>
      <w:r>
        <w:rPr>
          <w:rStyle w:val="16"/>
          <w:rFonts w:hint="eastAsia" w:ascii="仿宋" w:hAnsi="仿宋" w:eastAsia="仿宋"/>
          <w:b w:val="0"/>
          <w:bCs/>
          <w:sz w:val="32"/>
          <w:szCs w:val="32"/>
        </w:rPr>
        <w:t>等于预算数的主要原因是…</w:t>
      </w:r>
      <w:r>
        <w:rPr>
          <w:rStyle w:val="16"/>
          <w:rFonts w:hint="eastAsia" w:ascii="仿宋" w:hAnsi="仿宋" w:eastAsia="仿宋"/>
          <w:b w:val="0"/>
          <w:bCs/>
          <w:sz w:val="32"/>
          <w:szCs w:val="32"/>
          <w:lang w:eastAsia="zh-CN"/>
        </w:rPr>
        <w:t>；</w:t>
      </w:r>
      <w:r>
        <w:rPr>
          <w:rStyle w:val="16"/>
          <w:rFonts w:hint="eastAsia" w:ascii="仿宋" w:hAnsi="仿宋" w:eastAsia="仿宋"/>
          <w:bCs/>
          <w:sz w:val="32"/>
          <w:szCs w:val="32"/>
        </w:rPr>
        <w:t>社会保障和就业（类）</w:t>
      </w:r>
      <w:r>
        <w:rPr>
          <w:rStyle w:val="16"/>
          <w:rFonts w:hint="eastAsia" w:ascii="仿宋" w:hAnsi="仿宋" w:eastAsia="仿宋"/>
          <w:bCs/>
          <w:sz w:val="32"/>
          <w:szCs w:val="32"/>
          <w:lang w:eastAsia="zh-CN"/>
        </w:rPr>
        <w:t>行政事业养老支出</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机关事业单位职业年金缴费支出</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9.51</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，决算数小于</w:t>
      </w:r>
      <w:r>
        <w:rPr>
          <w:rStyle w:val="16"/>
          <w:rFonts w:ascii="仿宋" w:hAnsi="仿宋" w:eastAsia="仿宋"/>
          <w:b w:val="0"/>
          <w:bCs/>
          <w:sz w:val="32"/>
          <w:szCs w:val="32"/>
        </w:rPr>
        <w:t>/</w:t>
      </w:r>
      <w:r>
        <w:rPr>
          <w:rStyle w:val="16"/>
          <w:rFonts w:hint="eastAsia" w:ascii="仿宋" w:hAnsi="仿宋" w:eastAsia="仿宋"/>
          <w:b w:val="0"/>
          <w:bCs/>
          <w:sz w:val="32"/>
          <w:szCs w:val="32"/>
        </w:rPr>
        <w:t>等于预算数的主要原因是…</w:t>
      </w:r>
      <w:r>
        <w:rPr>
          <w:rStyle w:val="16"/>
          <w:rFonts w:hint="eastAsia" w:ascii="仿宋" w:hAnsi="仿宋" w:eastAsia="仿宋"/>
          <w:b w:val="0"/>
          <w:bCs/>
          <w:sz w:val="32"/>
          <w:szCs w:val="32"/>
          <w:lang w:eastAsia="zh-CN"/>
        </w:rPr>
        <w:t>；</w:t>
      </w:r>
      <w:r>
        <w:rPr>
          <w:rStyle w:val="16"/>
          <w:rFonts w:hint="eastAsia" w:ascii="仿宋" w:hAnsi="仿宋" w:eastAsia="仿宋"/>
          <w:bCs/>
          <w:sz w:val="32"/>
          <w:szCs w:val="32"/>
        </w:rPr>
        <w:t>社会保障和就业（类）</w:t>
      </w:r>
      <w:r>
        <w:rPr>
          <w:rStyle w:val="16"/>
          <w:rFonts w:hint="eastAsia" w:ascii="仿宋" w:hAnsi="仿宋" w:eastAsia="仿宋"/>
          <w:bCs/>
          <w:sz w:val="32"/>
          <w:szCs w:val="32"/>
          <w:lang w:eastAsia="zh-CN"/>
        </w:rPr>
        <w:t>其他社会保障和就业支出</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其他社会保障和就业支出</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0.93</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，决算数小于</w:t>
      </w:r>
      <w:r>
        <w:rPr>
          <w:rStyle w:val="16"/>
          <w:rFonts w:ascii="仿宋" w:hAnsi="仿宋" w:eastAsia="仿宋"/>
          <w:b w:val="0"/>
          <w:bCs/>
          <w:sz w:val="32"/>
          <w:szCs w:val="32"/>
        </w:rPr>
        <w:t>/</w:t>
      </w:r>
      <w:r>
        <w:rPr>
          <w:rStyle w:val="16"/>
          <w:rFonts w:hint="eastAsia" w:ascii="仿宋" w:hAnsi="仿宋" w:eastAsia="仿宋"/>
          <w:b w:val="0"/>
          <w:bCs/>
          <w:sz w:val="32"/>
          <w:szCs w:val="32"/>
        </w:rPr>
        <w:t>等于预算数的主要原因是…。</w:t>
      </w:r>
    </w:p>
    <w:p>
      <w:pPr>
        <w:spacing w:line="600" w:lineRule="exact"/>
        <w:ind w:firstLine="643" w:firstLineChars="200"/>
        <w:rPr>
          <w:rStyle w:val="16"/>
          <w:rFonts w:hint="eastAsia" w:ascii="仿宋" w:hAnsi="仿宋" w:eastAsia="仿宋"/>
          <w:b w:val="0"/>
          <w:bCs/>
          <w:sz w:val="32"/>
          <w:szCs w:val="32"/>
        </w:rPr>
      </w:pPr>
      <w:r>
        <w:rPr>
          <w:rStyle w:val="16"/>
          <w:rFonts w:ascii="仿宋" w:hAnsi="仿宋" w:eastAsia="仿宋"/>
          <w:bCs/>
          <w:sz w:val="32"/>
          <w:szCs w:val="32"/>
        </w:rPr>
        <w:t>6.</w:t>
      </w:r>
      <w:r>
        <w:rPr>
          <w:rFonts w:hint="eastAsia" w:ascii="仿宋" w:hAnsi="仿宋" w:eastAsia="仿宋"/>
          <w:b/>
          <w:bCs/>
          <w:sz w:val="32"/>
          <w:szCs w:val="32"/>
        </w:rPr>
        <w:t>卫生健康</w:t>
      </w:r>
      <w:r>
        <w:rPr>
          <w:rStyle w:val="16"/>
          <w:rFonts w:hint="eastAsia" w:ascii="仿宋" w:hAnsi="仿宋" w:eastAsia="仿宋"/>
          <w:bCs/>
          <w:sz w:val="32"/>
          <w:szCs w:val="32"/>
        </w:rPr>
        <w:t>（类）</w:t>
      </w:r>
      <w:r>
        <w:rPr>
          <w:rStyle w:val="16"/>
          <w:rFonts w:hint="eastAsia" w:ascii="仿宋" w:hAnsi="仿宋" w:eastAsia="仿宋"/>
          <w:bCs/>
          <w:sz w:val="32"/>
          <w:szCs w:val="32"/>
          <w:lang w:eastAsia="zh-CN"/>
        </w:rPr>
        <w:t>行政单位事业医疗</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事业单位医疗</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4.3</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，决算数小于</w:t>
      </w:r>
      <w:r>
        <w:rPr>
          <w:rStyle w:val="16"/>
          <w:rFonts w:ascii="仿宋" w:hAnsi="仿宋" w:eastAsia="仿宋"/>
          <w:b w:val="0"/>
          <w:bCs/>
          <w:sz w:val="32"/>
          <w:szCs w:val="32"/>
        </w:rPr>
        <w:t>/</w:t>
      </w:r>
      <w:r>
        <w:rPr>
          <w:rStyle w:val="16"/>
          <w:rFonts w:hint="eastAsia" w:ascii="仿宋" w:hAnsi="仿宋" w:eastAsia="仿宋"/>
          <w:b w:val="0"/>
          <w:bCs/>
          <w:sz w:val="32"/>
          <w:szCs w:val="32"/>
        </w:rPr>
        <w:t>等于预算数的主要原因是…</w:t>
      </w:r>
      <w:r>
        <w:rPr>
          <w:rStyle w:val="16"/>
          <w:rFonts w:hint="eastAsia" w:ascii="仿宋" w:hAnsi="仿宋" w:eastAsia="仿宋"/>
          <w:b w:val="0"/>
          <w:bCs/>
          <w:sz w:val="32"/>
          <w:szCs w:val="32"/>
          <w:lang w:eastAsia="zh-CN"/>
        </w:rPr>
        <w:t>；</w:t>
      </w:r>
      <w:r>
        <w:rPr>
          <w:rFonts w:hint="eastAsia" w:ascii="仿宋" w:hAnsi="仿宋" w:eastAsia="仿宋"/>
          <w:b/>
          <w:bCs/>
          <w:sz w:val="32"/>
          <w:szCs w:val="32"/>
        </w:rPr>
        <w:t>卫生健康</w:t>
      </w:r>
      <w:r>
        <w:rPr>
          <w:rStyle w:val="16"/>
          <w:rFonts w:hint="eastAsia" w:ascii="仿宋" w:hAnsi="仿宋" w:eastAsia="仿宋"/>
          <w:bCs/>
          <w:sz w:val="32"/>
          <w:szCs w:val="32"/>
        </w:rPr>
        <w:t>（类）</w:t>
      </w:r>
      <w:r>
        <w:rPr>
          <w:rStyle w:val="16"/>
          <w:rFonts w:hint="eastAsia" w:ascii="仿宋" w:hAnsi="仿宋" w:eastAsia="仿宋"/>
          <w:bCs/>
          <w:sz w:val="32"/>
          <w:szCs w:val="32"/>
          <w:lang w:eastAsia="zh-CN"/>
        </w:rPr>
        <w:t>行政单位事业医疗</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公务员医疗补助</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0.84</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，决算数小于</w:t>
      </w:r>
      <w:r>
        <w:rPr>
          <w:rStyle w:val="16"/>
          <w:rFonts w:ascii="仿宋" w:hAnsi="仿宋" w:eastAsia="仿宋"/>
          <w:b w:val="0"/>
          <w:bCs/>
          <w:sz w:val="32"/>
          <w:szCs w:val="32"/>
        </w:rPr>
        <w:t>/</w:t>
      </w:r>
      <w:r>
        <w:rPr>
          <w:rStyle w:val="16"/>
          <w:rFonts w:hint="eastAsia" w:ascii="仿宋" w:hAnsi="仿宋" w:eastAsia="仿宋"/>
          <w:b w:val="0"/>
          <w:bCs/>
          <w:sz w:val="32"/>
          <w:szCs w:val="32"/>
        </w:rPr>
        <w:t>等于预算数的主要原因是…。</w:t>
      </w:r>
    </w:p>
    <w:p>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7</w:t>
      </w:r>
      <w:r>
        <w:rPr>
          <w:rStyle w:val="16"/>
          <w:rFonts w:ascii="仿宋" w:hAnsi="仿宋" w:eastAsia="仿宋"/>
          <w:bCs/>
          <w:sz w:val="32"/>
          <w:szCs w:val="32"/>
        </w:rPr>
        <w:t>.</w:t>
      </w:r>
      <w:r>
        <w:rPr>
          <w:rStyle w:val="16"/>
          <w:rFonts w:hint="eastAsia" w:ascii="仿宋" w:hAnsi="仿宋" w:eastAsia="仿宋"/>
          <w:bCs/>
          <w:sz w:val="32"/>
          <w:szCs w:val="32"/>
          <w:lang w:eastAsia="zh-CN"/>
        </w:rPr>
        <w:t>住房保障</w:t>
      </w:r>
      <w:r>
        <w:rPr>
          <w:rStyle w:val="16"/>
          <w:rFonts w:hint="eastAsia" w:ascii="仿宋" w:hAnsi="仿宋" w:eastAsia="仿宋"/>
          <w:bCs/>
          <w:sz w:val="32"/>
          <w:szCs w:val="32"/>
        </w:rPr>
        <w:t>（类）</w:t>
      </w:r>
      <w:r>
        <w:rPr>
          <w:rStyle w:val="16"/>
          <w:rFonts w:hint="eastAsia" w:ascii="仿宋" w:hAnsi="仿宋" w:eastAsia="仿宋"/>
          <w:bCs/>
          <w:sz w:val="32"/>
          <w:szCs w:val="32"/>
          <w:lang w:eastAsia="zh-CN"/>
        </w:rPr>
        <w:t>住房改革支出</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住房公积金</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13.9</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，决算数小于</w:t>
      </w:r>
      <w:r>
        <w:rPr>
          <w:rStyle w:val="16"/>
          <w:rFonts w:ascii="仿宋" w:hAnsi="仿宋" w:eastAsia="仿宋"/>
          <w:b w:val="0"/>
          <w:bCs/>
          <w:sz w:val="32"/>
          <w:szCs w:val="32"/>
        </w:rPr>
        <w:t>/</w:t>
      </w:r>
      <w:r>
        <w:rPr>
          <w:rStyle w:val="16"/>
          <w:rFonts w:hint="eastAsia" w:ascii="仿宋" w:hAnsi="仿宋" w:eastAsia="仿宋"/>
          <w:b w:val="0"/>
          <w:bCs/>
          <w:sz w:val="32"/>
          <w:szCs w:val="32"/>
        </w:rPr>
        <w:t>等于预算数的主要原因是主要原因是…。</w:t>
      </w:r>
    </w:p>
    <w:p>
      <w:pPr>
        <w:pStyle w:val="2"/>
      </w:pPr>
    </w:p>
    <w:p>
      <w:pPr>
        <w:tabs>
          <w:tab w:val="right" w:pos="8306"/>
        </w:tabs>
        <w:spacing w:line="600" w:lineRule="exact"/>
        <w:ind w:firstLine="640"/>
        <w:outlineLvl w:val="1"/>
        <w:rPr>
          <w:rStyle w:val="28"/>
        </w:rPr>
      </w:pPr>
      <w:bookmarkStart w:id="48" w:name="_Toc15377214"/>
      <w:bookmarkStart w:id="49" w:name="_Toc28949"/>
      <w:bookmarkStart w:id="50"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8"/>
      <w:bookmarkEnd w:id="49"/>
      <w:bookmarkEnd w:id="50"/>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val="0"/>
          <w:bCs/>
          <w:sz w:val="32"/>
          <w:szCs w:val="32"/>
        </w:rPr>
        <w:t>201.05</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val="0"/>
          <w:bCs/>
          <w:sz w:val="32"/>
          <w:szCs w:val="32"/>
        </w:rPr>
        <w:t>176.61</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val="0"/>
          <w:bCs/>
          <w:sz w:val="32"/>
          <w:szCs w:val="32"/>
        </w:rPr>
        <w:t>24.44</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sz w:val="32"/>
          <w:szCs w:val="32"/>
        </w:rPr>
      </w:pPr>
    </w:p>
    <w:p>
      <w:pPr>
        <w:spacing w:line="600" w:lineRule="exact"/>
        <w:ind w:firstLine="640"/>
        <w:outlineLvl w:val="1"/>
        <w:rPr>
          <w:rStyle w:val="28"/>
          <w:rFonts w:ascii="黑体" w:hAnsi="黑体" w:eastAsia="黑体"/>
          <w:b w:val="0"/>
        </w:rPr>
      </w:pPr>
      <w:bookmarkStart w:id="51" w:name="_Toc15377215"/>
      <w:bookmarkStart w:id="52" w:name="_Toc15396609"/>
      <w:bookmarkStart w:id="53" w:name="_Toc14208"/>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51"/>
      <w:bookmarkEnd w:id="52"/>
      <w:bookmarkEnd w:id="53"/>
    </w:p>
    <w:p>
      <w:pPr>
        <w:spacing w:line="600" w:lineRule="exact"/>
        <w:ind w:firstLine="640"/>
        <w:outlineLvl w:val="2"/>
        <w:rPr>
          <w:rFonts w:ascii="仿宋" w:hAnsi="仿宋" w:eastAsia="仿宋"/>
          <w:b/>
          <w:sz w:val="32"/>
          <w:szCs w:val="32"/>
        </w:rPr>
      </w:pPr>
      <w:bookmarkStart w:id="54" w:name="_Toc15377216"/>
      <w:r>
        <w:rPr>
          <w:rFonts w:hint="eastAsia" w:ascii="仿宋" w:hAnsi="仿宋" w:eastAsia="仿宋"/>
          <w:b/>
          <w:sz w:val="32"/>
          <w:szCs w:val="32"/>
        </w:rPr>
        <w:t>（一）“三公”经费财政拨款支出决算总体情况说明</w:t>
      </w:r>
      <w:bookmarkEnd w:id="54"/>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val="0"/>
          <w:bCs/>
          <w:sz w:val="32"/>
          <w:szCs w:val="32"/>
        </w:rPr>
        <w:t>0.45</w:t>
      </w:r>
      <w:r>
        <w:rPr>
          <w:rFonts w:hint="eastAsia" w:ascii="仿宋" w:hAnsi="仿宋" w:eastAsia="仿宋"/>
          <w:b w:val="0"/>
          <w:bCs/>
          <w:sz w:val="32"/>
          <w:szCs w:val="32"/>
        </w:rPr>
        <w:t>万元，完成预算</w:t>
      </w:r>
      <w:r>
        <w:rPr>
          <w:rFonts w:ascii="仿宋" w:hAnsi="仿宋" w:eastAsia="仿宋"/>
          <w:b w:val="0"/>
          <w:bCs/>
          <w:sz w:val="32"/>
          <w:szCs w:val="32"/>
        </w:rPr>
        <w:t>100%</w:t>
      </w:r>
      <w:r>
        <w:rPr>
          <w:rFonts w:hint="eastAsia" w:ascii="仿宋" w:hAnsi="仿宋" w:eastAsia="仿宋"/>
          <w:b w:val="0"/>
          <w:bCs/>
          <w:sz w:val="32"/>
          <w:szCs w:val="32"/>
        </w:rPr>
        <w:t>，较上年度增加/减少</w:t>
      </w:r>
      <w:r>
        <w:rPr>
          <w:rFonts w:hint="eastAsia" w:ascii="仿宋" w:hAnsi="仿宋" w:eastAsia="仿宋"/>
          <w:b w:val="0"/>
          <w:bCs/>
          <w:sz w:val="32"/>
          <w:szCs w:val="32"/>
          <w:lang w:val="en-US" w:eastAsia="zh-CN"/>
        </w:rPr>
        <w:t>0</w:t>
      </w:r>
      <w:r>
        <w:rPr>
          <w:rFonts w:hint="eastAsia" w:ascii="仿宋" w:hAnsi="仿宋" w:eastAsia="仿宋"/>
          <w:b w:val="0"/>
          <w:bCs/>
          <w:sz w:val="32"/>
          <w:szCs w:val="32"/>
        </w:rPr>
        <w:t>万元，增</w:t>
      </w:r>
      <w:r>
        <w:rPr>
          <w:rFonts w:hint="eastAsia" w:ascii="仿宋" w:hAnsi="仿宋" w:eastAsia="仿宋"/>
          <w:sz w:val="32"/>
          <w:szCs w:val="32"/>
        </w:rPr>
        <w:t>长/下降</w:t>
      </w:r>
      <w:r>
        <w:rPr>
          <w:rFonts w:hint="eastAsia" w:ascii="仿宋" w:hAnsi="仿宋" w:eastAsia="仿宋"/>
          <w:sz w:val="32"/>
          <w:szCs w:val="32"/>
          <w:lang w:val="en-US" w:eastAsia="zh-CN"/>
        </w:rPr>
        <w:t>0</w:t>
      </w:r>
      <w:r>
        <w:rPr>
          <w:rFonts w:hint="eastAsia" w:ascii="仿宋" w:hAnsi="仿宋" w:eastAsia="仿宋"/>
          <w:sz w:val="32"/>
          <w:szCs w:val="32"/>
        </w:rPr>
        <w:t>%。决算数小于预算数（或与预算数持平）的主要原因是</w:t>
      </w:r>
      <w:r>
        <w:rPr>
          <w:rFonts w:hint="eastAsia" w:ascii="仿宋_GB2312" w:eastAsia="仿宋_GB2312"/>
          <w:sz w:val="32"/>
          <w:szCs w:val="32"/>
        </w:rPr>
        <w:t>……。</w:t>
      </w:r>
    </w:p>
    <w:p>
      <w:pPr>
        <w:spacing w:line="600" w:lineRule="exact"/>
        <w:ind w:firstLine="640"/>
        <w:outlineLvl w:val="2"/>
        <w:rPr>
          <w:rFonts w:ascii="仿宋" w:hAnsi="仿宋" w:eastAsia="仿宋"/>
          <w:b/>
          <w:sz w:val="32"/>
          <w:szCs w:val="32"/>
        </w:rPr>
      </w:pPr>
      <w:bookmarkStart w:id="55" w:name="_Toc15377217"/>
      <w:r>
        <w:rPr>
          <w:rFonts w:hint="eastAsia" w:ascii="仿宋" w:hAnsi="仿宋" w:eastAsia="仿宋"/>
          <w:b/>
          <w:sz w:val="32"/>
          <w:szCs w:val="32"/>
        </w:rPr>
        <w:t>（二）“三公”经费财政拨款支出决算具体情况说明</w:t>
      </w:r>
      <w:bookmarkEnd w:id="55"/>
    </w:p>
    <w:p>
      <w:pPr>
        <w:spacing w:line="600" w:lineRule="exact"/>
        <w:ind w:firstLine="64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b w:val="0"/>
          <w:bCs w:val="0"/>
          <w:sz w:val="32"/>
          <w:szCs w:val="32"/>
        </w:rPr>
        <w:t>023年度“三公”经费财政拨款支出决算中，因公出国（境）费支出决算</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；公务用车购置及运行维护费支出决算</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；公务接待费支出决算</w:t>
      </w:r>
      <w:r>
        <w:rPr>
          <w:rFonts w:ascii="仿宋" w:hAnsi="仿宋" w:eastAsia="仿宋"/>
          <w:b w:val="0"/>
          <w:bCs w:val="0"/>
          <w:sz w:val="32"/>
          <w:szCs w:val="32"/>
        </w:rPr>
        <w:t>0.45</w:t>
      </w:r>
      <w:r>
        <w:rPr>
          <w:rFonts w:hint="eastAsia" w:ascii="仿宋" w:hAnsi="仿宋" w:eastAsia="仿宋"/>
          <w:b w:val="0"/>
          <w:bCs w:val="0"/>
          <w:sz w:val="32"/>
          <w:szCs w:val="32"/>
        </w:rPr>
        <w:t>万元，占</w:t>
      </w:r>
      <w:r>
        <w:rPr>
          <w:rFonts w:ascii="仿宋" w:hAnsi="仿宋" w:eastAsia="仿宋"/>
          <w:b w:val="0"/>
          <w:bCs w:val="0"/>
          <w:sz w:val="32"/>
          <w:szCs w:val="32"/>
        </w:rPr>
        <w:t>100%</w:t>
      </w:r>
      <w:r>
        <w:rPr>
          <w:rFonts w:hint="eastAsia" w:ascii="仿宋" w:hAnsi="仿宋" w:eastAsia="仿宋"/>
          <w:b w:val="0"/>
          <w:bCs w:val="0"/>
          <w:sz w:val="32"/>
          <w:szCs w:val="32"/>
        </w:rPr>
        <w:t>。具体情况如下：</w:t>
      </w:r>
    </w:p>
    <w:p>
      <w:pPr>
        <w:pStyle w:val="2"/>
        <w:ind w:left="0" w:leftChars="0" w:firstLine="0" w:firstLineChars="0"/>
        <w:rPr>
          <w:rFonts w:hint="eastAsia" w:ascii="仿宋" w:hAnsi="仿宋" w:eastAsia="仿宋"/>
          <w:sz w:val="32"/>
          <w:szCs w:val="32"/>
        </w:rPr>
      </w:pPr>
      <w:r>
        <w:drawing>
          <wp:inline distT="0" distB="0" distL="114300" distR="114300">
            <wp:extent cx="4876800" cy="2743200"/>
            <wp:effectExtent l="4445" t="4445" r="14605" b="1460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0"/>
        <w:rPr>
          <w:rFonts w:ascii="仿宋_GB2312" w:eastAsia="仿宋_GB2312"/>
          <w:b w:val="0"/>
          <w:bCs/>
          <w:sz w:val="32"/>
          <w:szCs w:val="32"/>
        </w:rPr>
      </w:pPr>
      <w:bookmarkStart w:id="56" w:name="_Toc15377218"/>
      <w:bookmarkStart w:id="57"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val="0"/>
          <w:bCs/>
          <w:sz w:val="32"/>
          <w:szCs w:val="32"/>
        </w:rPr>
        <w:t>0</w:t>
      </w:r>
      <w:r>
        <w:rPr>
          <w:rFonts w:hint="eastAsia" w:ascii="仿宋_GB2312" w:eastAsia="仿宋_GB2312"/>
          <w:b w:val="0"/>
          <w:bCs/>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0%</w:t>
      </w:r>
      <w:r>
        <w:rPr>
          <w:rStyle w:val="16"/>
          <w:rFonts w:hint="eastAsia" w:ascii="仿宋" w:hAnsi="仿宋" w:eastAsia="仿宋"/>
          <w:b w:val="0"/>
          <w:bCs/>
          <w:sz w:val="32"/>
          <w:szCs w:val="32"/>
        </w:rPr>
        <w:t>。</w:t>
      </w:r>
      <w:r>
        <w:rPr>
          <w:rFonts w:hint="eastAsia" w:ascii="仿宋_GB2312" w:eastAsia="仿宋_GB2312"/>
          <w:b w:val="0"/>
          <w:bCs/>
          <w:sz w:val="32"/>
          <w:szCs w:val="32"/>
        </w:rPr>
        <w:t>全年安排因公出国（境）团组</w:t>
      </w:r>
      <w:r>
        <w:rPr>
          <w:rFonts w:ascii="仿宋_GB2312" w:eastAsia="仿宋_GB2312"/>
          <w:b w:val="0"/>
          <w:bCs/>
          <w:sz w:val="32"/>
          <w:szCs w:val="32"/>
        </w:rPr>
        <w:t>0</w:t>
      </w:r>
      <w:r>
        <w:rPr>
          <w:rFonts w:hint="eastAsia" w:ascii="仿宋_GB2312" w:eastAsia="仿宋_GB2312"/>
          <w:b w:val="0"/>
          <w:bCs/>
          <w:sz w:val="32"/>
          <w:szCs w:val="32"/>
        </w:rPr>
        <w:t>次，出国（境）</w:t>
      </w:r>
      <w:r>
        <w:rPr>
          <w:rFonts w:ascii="仿宋_GB2312" w:eastAsia="仿宋_GB2312"/>
          <w:b w:val="0"/>
          <w:bCs/>
          <w:sz w:val="32"/>
          <w:szCs w:val="32"/>
        </w:rPr>
        <w:t>0</w:t>
      </w:r>
      <w:r>
        <w:rPr>
          <w:rFonts w:hint="eastAsia" w:ascii="仿宋_GB2312" w:eastAsia="仿宋_GB2312"/>
          <w:b w:val="0"/>
          <w:bCs/>
          <w:sz w:val="32"/>
          <w:szCs w:val="32"/>
        </w:rPr>
        <w:t>人。因公出国（境）支出决算比2022年增加</w:t>
      </w:r>
      <w:r>
        <w:rPr>
          <w:rFonts w:ascii="仿宋_GB2312" w:eastAsia="仿宋_GB2312"/>
          <w:b w:val="0"/>
          <w:bCs/>
          <w:sz w:val="32"/>
          <w:szCs w:val="32"/>
        </w:rPr>
        <w:t>/</w:t>
      </w:r>
      <w:r>
        <w:rPr>
          <w:rFonts w:hint="eastAsia" w:ascii="仿宋_GB2312" w:eastAsia="仿宋_GB2312"/>
          <w:b w:val="0"/>
          <w:bCs/>
          <w:sz w:val="32"/>
          <w:szCs w:val="32"/>
        </w:rPr>
        <w:t>减少</w:t>
      </w:r>
      <w:r>
        <w:rPr>
          <w:rFonts w:hint="eastAsia" w:ascii="仿宋_GB2312" w:eastAsia="仿宋_GB2312"/>
          <w:b w:val="0"/>
          <w:bCs/>
          <w:sz w:val="32"/>
          <w:szCs w:val="32"/>
          <w:lang w:val="en-US" w:eastAsia="zh-CN"/>
        </w:rPr>
        <w:t>0</w:t>
      </w:r>
      <w:r>
        <w:rPr>
          <w:rFonts w:hint="eastAsia" w:ascii="仿宋_GB2312" w:eastAsia="仿宋_GB2312"/>
          <w:b w:val="0"/>
          <w:bCs/>
          <w:sz w:val="32"/>
          <w:szCs w:val="32"/>
        </w:rPr>
        <w:t>万元，增长</w:t>
      </w:r>
      <w:r>
        <w:rPr>
          <w:rFonts w:ascii="仿宋_GB2312" w:eastAsia="仿宋_GB2312"/>
          <w:b w:val="0"/>
          <w:bCs/>
          <w:sz w:val="32"/>
          <w:szCs w:val="32"/>
        </w:rPr>
        <w:t>/</w:t>
      </w:r>
      <w:r>
        <w:rPr>
          <w:rFonts w:hint="eastAsia" w:ascii="仿宋_GB2312" w:eastAsia="仿宋_GB2312"/>
          <w:b w:val="0"/>
          <w:bCs/>
          <w:sz w:val="32"/>
          <w:szCs w:val="32"/>
        </w:rPr>
        <w:t>下降</w:t>
      </w:r>
      <w:r>
        <w:rPr>
          <w:rFonts w:hint="eastAsia" w:ascii="仿宋_GB2312" w:eastAsia="仿宋_GB2312"/>
          <w:b w:val="0"/>
          <w:bCs/>
          <w:sz w:val="32"/>
          <w:szCs w:val="32"/>
          <w:lang w:val="en-US" w:eastAsia="zh-CN"/>
        </w:rPr>
        <w:t>0</w:t>
      </w:r>
      <w:r>
        <w:rPr>
          <w:rFonts w:ascii="仿宋_GB2312" w:eastAsia="仿宋_GB2312"/>
          <w:b w:val="0"/>
          <w:bCs/>
          <w:sz w:val="32"/>
          <w:szCs w:val="32"/>
        </w:rPr>
        <w:t>%</w:t>
      </w:r>
      <w:r>
        <w:rPr>
          <w:rFonts w:hint="eastAsia" w:ascii="仿宋_GB2312" w:eastAsia="仿宋_GB2312"/>
          <w:b w:val="0"/>
          <w:bCs/>
          <w:sz w:val="32"/>
          <w:szCs w:val="32"/>
        </w:rPr>
        <w:t>。主要原因是……。</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开支内容包括：…（团组名称、出访地点、取得成效）等。</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val="0"/>
          <w:bCs/>
          <w:sz w:val="32"/>
          <w:szCs w:val="32"/>
        </w:rPr>
        <w:t>0</w:t>
      </w:r>
      <w:r>
        <w:rPr>
          <w:rFonts w:hint="eastAsia" w:ascii="仿宋_GB2312" w:eastAsia="仿宋_GB2312"/>
          <w:b w:val="0"/>
          <w:bCs/>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0%</w:t>
      </w:r>
      <w:r>
        <w:rPr>
          <w:rStyle w:val="16"/>
          <w:rFonts w:hint="eastAsia" w:ascii="仿宋" w:hAnsi="仿宋" w:eastAsia="仿宋"/>
          <w:b w:val="0"/>
          <w:bCs/>
          <w:sz w:val="32"/>
          <w:szCs w:val="32"/>
        </w:rPr>
        <w:t>。</w:t>
      </w:r>
      <w:r>
        <w:rPr>
          <w:rFonts w:hint="eastAsia" w:ascii="仿宋_GB2312" w:eastAsia="仿宋_GB2312"/>
          <w:b w:val="0"/>
          <w:bCs/>
          <w:sz w:val="32"/>
          <w:szCs w:val="32"/>
        </w:rPr>
        <w:t>公务用车购置及运行维护费支出决算比2022年度增加</w:t>
      </w:r>
      <w:r>
        <w:rPr>
          <w:rFonts w:ascii="仿宋_GB2312" w:eastAsia="仿宋_GB2312"/>
          <w:b w:val="0"/>
          <w:bCs/>
          <w:sz w:val="32"/>
          <w:szCs w:val="32"/>
        </w:rPr>
        <w:t>/</w:t>
      </w:r>
      <w:r>
        <w:rPr>
          <w:rFonts w:hint="eastAsia" w:ascii="仿宋_GB2312" w:eastAsia="仿宋_GB2312"/>
          <w:b w:val="0"/>
          <w:bCs/>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val="0"/>
          <w:bCs/>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万元，主要用于…。截至2023年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val="0"/>
          <w:bCs/>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val="0"/>
          <w:bCs/>
          <w:sz w:val="32"/>
          <w:szCs w:val="32"/>
        </w:rPr>
        <w:t>0.45</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val="0"/>
          <w:bCs/>
          <w:sz w:val="32"/>
          <w:szCs w:val="32"/>
        </w:rPr>
        <w:t>0.45</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5</w:t>
      </w:r>
      <w:r>
        <w:rPr>
          <w:rFonts w:hint="eastAsia" w:ascii="仿宋_GB2312" w:eastAsia="仿宋_GB2312"/>
          <w:sz w:val="32"/>
          <w:szCs w:val="32"/>
        </w:rPr>
        <w:t>批次，</w:t>
      </w:r>
      <w:r>
        <w:rPr>
          <w:rFonts w:hint="eastAsia" w:ascii="仿宋_GB2312" w:eastAsia="仿宋_GB2312"/>
          <w:sz w:val="32"/>
          <w:szCs w:val="32"/>
          <w:lang w:val="en-US" w:eastAsia="zh-CN"/>
        </w:rPr>
        <w:t>37</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0.45</w:t>
      </w:r>
      <w:r>
        <w:rPr>
          <w:rFonts w:hint="eastAsia" w:ascii="仿宋_GB2312" w:eastAsia="仿宋_GB2312"/>
          <w:sz w:val="32"/>
          <w:szCs w:val="32"/>
        </w:rPr>
        <w:t>万元，具体内容包括：</w:t>
      </w:r>
      <w:r>
        <w:rPr>
          <w:rFonts w:hint="eastAsia" w:ascii="仿宋_GB2312" w:eastAsia="仿宋_GB2312"/>
          <w:sz w:val="32"/>
          <w:szCs w:val="32"/>
          <w:lang w:val="en-US" w:eastAsia="zh-CN"/>
        </w:rPr>
        <w:t>1.2023年5月16日，接待省知识产权保护中心赴乐山调研专利保护工作，接待人数4人，金额510元。2.2023年5月23日，接待省知识产权保护中心赴乐山调研知识产权纠纷判定工作，接待人数4人，金额560元。3.2023年5月31日，接待省市场监管局开展送服务到企业和基层调研活动，接待人数8人，金额820元。4.2023年6月30日，接待省中心赴乐山市夹江县调研地理标志运用</w:t>
      </w:r>
      <w:bookmarkStart w:id="103" w:name="_GoBack"/>
      <w:bookmarkEnd w:id="103"/>
      <w:r>
        <w:rPr>
          <w:rFonts w:hint="eastAsia" w:ascii="仿宋_GB2312" w:eastAsia="仿宋_GB2312"/>
          <w:sz w:val="32"/>
          <w:szCs w:val="32"/>
          <w:lang w:val="en-US" w:eastAsia="zh-CN"/>
        </w:rPr>
        <w:t>工作，接待人数3人，金额538元。5.2023年8月29日，接待省知识产权保护中心赴乐山调研专利保护工作，接待人数18人，金额2060元。</w:t>
      </w:r>
    </w:p>
    <w:p>
      <w:pPr>
        <w:spacing w:line="600" w:lineRule="exact"/>
        <w:ind w:firstLine="643" w:firstLineChars="200"/>
        <w:rPr>
          <w:rFonts w:hint="eastAsia" w:ascii="仿宋_GB2312" w:eastAsia="仿宋_GB2312"/>
          <w:sz w:val="32"/>
          <w:szCs w:val="32"/>
        </w:rPr>
      </w:pPr>
      <w:r>
        <w:rPr>
          <w:rFonts w:hint="eastAsia" w:ascii="仿宋" w:hAnsi="仿宋" w:eastAsia="仿宋"/>
          <w:b/>
          <w:sz w:val="32"/>
          <w:szCs w:val="32"/>
        </w:rPr>
        <w:t>外事接待支出</w:t>
      </w:r>
      <w:r>
        <w:rPr>
          <w:rFonts w:ascii="仿宋" w:hAnsi="仿宋" w:eastAsia="仿宋"/>
          <w:b w:val="0"/>
          <w:bCs/>
          <w:sz w:val="32"/>
          <w:szCs w:val="32"/>
        </w:rPr>
        <w:t>0</w:t>
      </w:r>
      <w:r>
        <w:rPr>
          <w:rFonts w:hint="eastAsia" w:ascii="仿宋_GB2312" w:eastAsia="仿宋_GB2312"/>
          <w:sz w:val="32"/>
          <w:szCs w:val="32"/>
        </w:rPr>
        <w:t>万元，主要用于接待</w:t>
      </w:r>
      <w:r>
        <w:rPr>
          <w:rFonts w:ascii="仿宋_GB2312" w:eastAsia="仿宋_GB2312"/>
          <w:sz w:val="32"/>
          <w:szCs w:val="32"/>
        </w:rPr>
        <w:t>…</w:t>
      </w:r>
      <w:r>
        <w:rPr>
          <w:rFonts w:hint="eastAsia" w:ascii="仿宋_GB2312" w:eastAsia="仿宋_GB2312"/>
          <w:sz w:val="32"/>
          <w:szCs w:val="32"/>
        </w:rPr>
        <w:t>（具体项目）。外事接待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pStyle w:val="2"/>
      </w:pPr>
    </w:p>
    <w:p>
      <w:pPr>
        <w:spacing w:line="600" w:lineRule="exact"/>
        <w:ind w:firstLine="640"/>
        <w:outlineLvl w:val="1"/>
        <w:rPr>
          <w:rStyle w:val="28"/>
          <w:rFonts w:ascii="黑体" w:hAnsi="黑体" w:eastAsia="黑体"/>
        </w:rPr>
      </w:pPr>
      <w:bookmarkStart w:id="58" w:name="_Toc24490"/>
      <w:r>
        <w:rPr>
          <w:rFonts w:hint="eastAsia" w:ascii="黑体" w:eastAsia="黑体"/>
          <w:sz w:val="32"/>
          <w:szCs w:val="32"/>
        </w:rPr>
        <w:t>八、</w:t>
      </w:r>
      <w:r>
        <w:rPr>
          <w:rStyle w:val="28"/>
          <w:rFonts w:hint="eastAsia" w:ascii="黑体" w:hAnsi="黑体" w:eastAsia="黑体"/>
          <w:b w:val="0"/>
        </w:rPr>
        <w:t>政府性基金预算支出决算情况说明</w:t>
      </w:r>
      <w:bookmarkEnd w:id="56"/>
      <w:bookmarkEnd w:id="57"/>
      <w:bookmarkEnd w:id="58"/>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val="0"/>
          <w:bCs/>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8"/>
          <w:rFonts w:ascii="黑体" w:hAnsi="黑体" w:eastAsia="黑体"/>
          <w:b w:val="0"/>
        </w:rPr>
      </w:pPr>
      <w:bookmarkStart w:id="59" w:name="_Toc15396611"/>
      <w:bookmarkStart w:id="60" w:name="_Toc15377219"/>
      <w:bookmarkStart w:id="61" w:name="_Toc16794"/>
      <w:r>
        <w:rPr>
          <w:rStyle w:val="28"/>
          <w:rFonts w:hint="eastAsia" w:ascii="黑体" w:hAnsi="黑体" w:eastAsia="黑体"/>
          <w:b w:val="0"/>
        </w:rPr>
        <w:t>国有资本经营预算支出决算情况说明</w:t>
      </w:r>
      <w:bookmarkEnd w:id="59"/>
      <w:bookmarkEnd w:id="60"/>
      <w:bookmarkEnd w:id="61"/>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val="0"/>
          <w:bCs/>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8"/>
          <w:rFonts w:ascii="黑体" w:hAnsi="黑体" w:eastAsia="黑体"/>
          <w:b w:val="0"/>
        </w:rPr>
      </w:pPr>
      <w:bookmarkStart w:id="62" w:name="_Toc15377221"/>
      <w:bookmarkStart w:id="63" w:name="_Toc15396612"/>
      <w:bookmarkStart w:id="64" w:name="_Toc26225"/>
      <w:r>
        <w:rPr>
          <w:rStyle w:val="28"/>
          <w:rFonts w:hint="eastAsia" w:ascii="黑体" w:hAnsi="黑体" w:eastAsia="黑体"/>
          <w:b w:val="0"/>
        </w:rPr>
        <w:t>其他重要事项的情况说明</w:t>
      </w:r>
      <w:bookmarkEnd w:id="62"/>
      <w:bookmarkEnd w:id="63"/>
      <w:bookmarkEnd w:id="64"/>
    </w:p>
    <w:p>
      <w:pPr>
        <w:spacing w:line="600" w:lineRule="exact"/>
        <w:ind w:firstLine="643" w:firstLineChars="200"/>
        <w:outlineLvl w:val="2"/>
        <w:rPr>
          <w:rFonts w:ascii="仿宋" w:hAnsi="仿宋" w:eastAsia="仿宋"/>
          <w:sz w:val="32"/>
          <w:szCs w:val="32"/>
        </w:rPr>
      </w:pPr>
      <w:bookmarkStart w:id="65" w:name="_Toc15377222"/>
      <w:r>
        <w:rPr>
          <w:rFonts w:hint="eastAsia" w:ascii="仿宋" w:hAnsi="仿宋" w:eastAsia="仿宋"/>
          <w:b/>
          <w:sz w:val="32"/>
          <w:szCs w:val="32"/>
        </w:rPr>
        <w:t>（一）机关运行经费支出情况</w:t>
      </w:r>
      <w:bookmarkEnd w:id="65"/>
    </w:p>
    <w:p>
      <w:pPr>
        <w:spacing w:line="60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2023年度，</w:t>
      </w:r>
      <w:r>
        <w:rPr>
          <w:rFonts w:ascii="仿宋_GB2312" w:eastAsia="仿宋_GB2312"/>
          <w:b w:val="0"/>
          <w:bCs w:val="0"/>
          <w:sz w:val="32"/>
          <w:szCs w:val="32"/>
        </w:rPr>
        <w:t>乐山市知识产权服务促进中心</w:t>
      </w:r>
      <w:r>
        <w:rPr>
          <w:rFonts w:hint="eastAsia" w:ascii="仿宋_GB2312" w:eastAsia="仿宋_GB2312"/>
          <w:b w:val="0"/>
          <w:bCs w:val="0"/>
          <w:sz w:val="32"/>
          <w:szCs w:val="32"/>
        </w:rPr>
        <w:t>机关运行经费支出</w:t>
      </w:r>
      <w:r>
        <w:rPr>
          <w:rFonts w:ascii="仿宋" w:hAnsi="仿宋" w:eastAsia="仿宋"/>
          <w:b w:val="0"/>
          <w:bCs w:val="0"/>
          <w:sz w:val="32"/>
          <w:szCs w:val="32"/>
        </w:rPr>
        <w:t>24.44</w:t>
      </w:r>
      <w:r>
        <w:rPr>
          <w:rFonts w:hint="eastAsia" w:ascii="仿宋_GB2312" w:eastAsia="仿宋_GB2312"/>
          <w:b w:val="0"/>
          <w:bCs w:val="0"/>
          <w:sz w:val="32"/>
          <w:szCs w:val="32"/>
        </w:rPr>
        <w:t>万元，比2022年度减少</w:t>
      </w:r>
      <w:r>
        <w:rPr>
          <w:rFonts w:hint="eastAsia" w:ascii="仿宋_GB2312" w:eastAsia="仿宋_GB2312"/>
          <w:b w:val="0"/>
          <w:bCs w:val="0"/>
          <w:sz w:val="32"/>
          <w:szCs w:val="32"/>
          <w:lang w:val="en-US" w:eastAsia="zh-CN"/>
        </w:rPr>
        <w:t>5.09</w:t>
      </w:r>
      <w:r>
        <w:rPr>
          <w:rFonts w:hint="eastAsia" w:ascii="仿宋_GB2312" w:eastAsia="仿宋_GB2312"/>
          <w:b w:val="0"/>
          <w:bCs w:val="0"/>
          <w:sz w:val="32"/>
          <w:szCs w:val="32"/>
        </w:rPr>
        <w:t>万元，下降</w:t>
      </w:r>
      <w:r>
        <w:rPr>
          <w:rFonts w:hint="eastAsia" w:ascii="仿宋_GB2312" w:eastAsia="仿宋_GB2312"/>
          <w:b w:val="0"/>
          <w:bCs w:val="0"/>
          <w:sz w:val="32"/>
          <w:szCs w:val="32"/>
          <w:lang w:val="en-US" w:eastAsia="zh-CN"/>
        </w:rPr>
        <w:t>17.2</w:t>
      </w:r>
      <w:r>
        <w:rPr>
          <w:rFonts w:ascii="仿宋_GB2312" w:eastAsia="仿宋_GB2312"/>
          <w:b w:val="0"/>
          <w:bCs w:val="0"/>
          <w:sz w:val="32"/>
          <w:szCs w:val="32"/>
        </w:rPr>
        <w:t>%</w:t>
      </w:r>
      <w:r>
        <w:rPr>
          <w:rFonts w:hint="eastAsia" w:ascii="仿宋_GB2312" w:eastAsia="仿宋_GB2312"/>
          <w:b w:val="0"/>
          <w:bCs w:val="0"/>
          <w:sz w:val="32"/>
          <w:szCs w:val="32"/>
        </w:rPr>
        <w:t>。主要原因是</w:t>
      </w:r>
      <w:r>
        <w:rPr>
          <w:rFonts w:hint="eastAsia" w:ascii="仿宋_GB2312" w:hAnsi="仿宋_GB2312" w:eastAsia="仿宋_GB2312"/>
          <w:b w:val="0"/>
          <w:bCs w:val="0"/>
          <w:color w:val="000000"/>
          <w:kern w:val="2"/>
          <w:sz w:val="32"/>
          <w:lang w:val="zh-CN"/>
        </w:rPr>
        <w:t>例行勤俭节约，从严控制机关运行经费。</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3"/>
      <w:r>
        <w:rPr>
          <w:rFonts w:hint="eastAsia" w:ascii="仿宋" w:hAnsi="仿宋" w:eastAsia="仿宋"/>
          <w:b/>
          <w:sz w:val="32"/>
          <w:szCs w:val="32"/>
        </w:rPr>
        <w:t>（二）政府采购支出情况</w:t>
      </w:r>
      <w:bookmarkEnd w:id="66"/>
    </w:p>
    <w:p>
      <w:pPr>
        <w:spacing w:line="60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2023年度，</w:t>
      </w:r>
      <w:r>
        <w:rPr>
          <w:rFonts w:ascii="仿宋_GB2312" w:eastAsia="仿宋_GB2312"/>
          <w:b w:val="0"/>
          <w:bCs w:val="0"/>
          <w:sz w:val="32"/>
          <w:szCs w:val="32"/>
        </w:rPr>
        <w:t>乐山市知识产权服务促进中心</w:t>
      </w:r>
      <w:r>
        <w:rPr>
          <w:rFonts w:hint="eastAsia" w:ascii="仿宋_GB2312" w:eastAsia="仿宋_GB2312"/>
          <w:b w:val="0"/>
          <w:bCs w:val="0"/>
          <w:sz w:val="32"/>
          <w:szCs w:val="32"/>
        </w:rPr>
        <w:t>政府采购支出总额</w:t>
      </w:r>
      <w:r>
        <w:rPr>
          <w:rFonts w:ascii="仿宋" w:hAnsi="仿宋" w:eastAsia="仿宋"/>
          <w:b w:val="0"/>
          <w:bCs w:val="0"/>
          <w:sz w:val="32"/>
          <w:szCs w:val="32"/>
        </w:rPr>
        <w:t>0</w:t>
      </w:r>
      <w:r>
        <w:rPr>
          <w:rFonts w:hint="eastAsia" w:ascii="仿宋_GB2312" w:eastAsia="仿宋_GB2312"/>
          <w:b w:val="0"/>
          <w:bCs w:val="0"/>
          <w:sz w:val="32"/>
          <w:szCs w:val="32"/>
        </w:rPr>
        <w:t>万元，其中：政府采购货物支出</w:t>
      </w:r>
      <w:r>
        <w:rPr>
          <w:rFonts w:ascii="仿宋" w:hAnsi="仿宋" w:eastAsia="仿宋"/>
          <w:b w:val="0"/>
          <w:bCs w:val="0"/>
          <w:sz w:val="32"/>
          <w:szCs w:val="32"/>
        </w:rPr>
        <w:t>0</w:t>
      </w:r>
      <w:r>
        <w:rPr>
          <w:rFonts w:hint="eastAsia" w:ascii="仿宋_GB2312" w:eastAsia="仿宋_GB2312"/>
          <w:b w:val="0"/>
          <w:bCs w:val="0"/>
          <w:sz w:val="32"/>
          <w:szCs w:val="32"/>
        </w:rPr>
        <w:t>万元、政府采购工程支出</w:t>
      </w:r>
      <w:r>
        <w:rPr>
          <w:rFonts w:ascii="仿宋" w:hAnsi="仿宋" w:eastAsia="仿宋"/>
          <w:b w:val="0"/>
          <w:bCs w:val="0"/>
          <w:sz w:val="32"/>
          <w:szCs w:val="32"/>
        </w:rPr>
        <w:t>0</w:t>
      </w:r>
      <w:r>
        <w:rPr>
          <w:rFonts w:hint="eastAsia" w:ascii="仿宋_GB2312" w:eastAsia="仿宋_GB2312"/>
          <w:b w:val="0"/>
          <w:bCs w:val="0"/>
          <w:sz w:val="32"/>
          <w:szCs w:val="32"/>
        </w:rPr>
        <w:t>万元、政府采购服务支出</w:t>
      </w:r>
      <w:r>
        <w:rPr>
          <w:rFonts w:ascii="仿宋" w:hAnsi="仿宋" w:eastAsia="仿宋"/>
          <w:b w:val="0"/>
          <w:bCs w:val="0"/>
          <w:sz w:val="32"/>
          <w:szCs w:val="32"/>
        </w:rPr>
        <w:t>0</w:t>
      </w:r>
      <w:r>
        <w:rPr>
          <w:rFonts w:hint="eastAsia" w:ascii="仿宋_GB2312" w:eastAsia="仿宋_GB2312"/>
          <w:b w:val="0"/>
          <w:bCs w:val="0"/>
          <w:sz w:val="32"/>
          <w:szCs w:val="32"/>
        </w:rPr>
        <w:t>万元。主要用于</w:t>
      </w:r>
      <w:r>
        <w:rPr>
          <w:rFonts w:ascii="仿宋_GB2312" w:eastAsia="仿宋_GB2312"/>
          <w:b w:val="0"/>
          <w:bCs w:val="0"/>
          <w:sz w:val="32"/>
          <w:szCs w:val="32"/>
        </w:rPr>
        <w:t>…</w:t>
      </w:r>
      <w:r>
        <w:rPr>
          <w:rFonts w:hint="eastAsia" w:ascii="仿宋_GB2312" w:eastAsia="仿宋_GB2312"/>
          <w:b w:val="0"/>
          <w:bCs w:val="0"/>
          <w:sz w:val="32"/>
          <w:szCs w:val="32"/>
        </w:rPr>
        <w:t>（具体工作）。授予中小企业合同金额</w:t>
      </w:r>
      <w:r>
        <w:rPr>
          <w:rFonts w:ascii="仿宋" w:hAnsi="仿宋" w:eastAsia="仿宋"/>
          <w:b w:val="0"/>
          <w:bCs w:val="0"/>
          <w:sz w:val="32"/>
          <w:szCs w:val="32"/>
        </w:rPr>
        <w:t>0</w:t>
      </w:r>
      <w:r>
        <w:rPr>
          <w:rFonts w:hint="eastAsia" w:ascii="仿宋_GB2312" w:eastAsia="仿宋_GB2312"/>
          <w:b w:val="0"/>
          <w:bCs w:val="0"/>
          <w:sz w:val="32"/>
          <w:szCs w:val="32"/>
        </w:rPr>
        <w:t>万元，占政府采购支出总额的</w:t>
      </w:r>
      <w:r>
        <w:rPr>
          <w:rFonts w:ascii="仿宋_GB2312" w:eastAsia="仿宋_GB2312"/>
          <w:b w:val="0"/>
          <w:bCs w:val="0"/>
          <w:sz w:val="32"/>
          <w:szCs w:val="32"/>
        </w:rPr>
        <w:t>0%</w:t>
      </w:r>
      <w:r>
        <w:rPr>
          <w:rFonts w:hint="eastAsia" w:ascii="仿宋_GB2312" w:eastAsia="仿宋_GB2312"/>
          <w:b w:val="0"/>
          <w:bCs w:val="0"/>
          <w:sz w:val="32"/>
          <w:szCs w:val="32"/>
        </w:rPr>
        <w:t>，其中：授予小微企业合同金额</w:t>
      </w:r>
      <w:r>
        <w:rPr>
          <w:rFonts w:ascii="仿宋" w:hAnsi="仿宋" w:eastAsia="仿宋"/>
          <w:b w:val="0"/>
          <w:bCs w:val="0"/>
          <w:sz w:val="32"/>
          <w:szCs w:val="32"/>
        </w:rPr>
        <w:t>0</w:t>
      </w:r>
      <w:r>
        <w:rPr>
          <w:rFonts w:hint="eastAsia" w:ascii="仿宋_GB2312" w:eastAsia="仿宋_GB2312"/>
          <w:b w:val="0"/>
          <w:bCs w:val="0"/>
          <w:sz w:val="32"/>
          <w:szCs w:val="32"/>
        </w:rPr>
        <w:t>万元，占政府采购支出总额的</w:t>
      </w:r>
      <w:r>
        <w:rPr>
          <w:rFonts w:ascii="仿宋_GB2312" w:eastAsia="仿宋_GB2312"/>
          <w:b w:val="0"/>
          <w:bCs w:val="0"/>
          <w:sz w:val="32"/>
          <w:szCs w:val="32"/>
        </w:rPr>
        <w:t>0%</w:t>
      </w:r>
      <w:r>
        <w:rPr>
          <w:rFonts w:hint="eastAsia" w:ascii="仿宋_GB2312" w:eastAsia="仿宋_GB2312"/>
          <w:b w:val="0"/>
          <w:bCs w:val="0"/>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7" w:name="_Toc15377224"/>
      <w:r>
        <w:rPr>
          <w:rFonts w:hint="eastAsia" w:ascii="仿宋" w:hAnsi="仿宋" w:eastAsia="仿宋"/>
          <w:b/>
          <w:sz w:val="32"/>
          <w:szCs w:val="32"/>
        </w:rPr>
        <w:t>（三）国有资产占有使用情况</w:t>
      </w:r>
      <w:bookmarkEnd w:id="67"/>
    </w:p>
    <w:p>
      <w:pPr>
        <w:autoSpaceDE w:val="0"/>
        <w:autoSpaceDN w:val="0"/>
        <w:adjustRightInd w:val="0"/>
        <w:spacing w:line="600" w:lineRule="exact"/>
        <w:ind w:firstLine="640" w:firstLineChars="200"/>
        <w:jc w:val="left"/>
        <w:rPr>
          <w:rFonts w:ascii="仿宋_GB2312" w:eastAsia="仿宋_GB2312"/>
          <w:b w:val="0"/>
          <w:bCs w:val="0"/>
          <w:sz w:val="32"/>
          <w:szCs w:val="32"/>
        </w:rPr>
      </w:pPr>
      <w:r>
        <w:rPr>
          <w:rFonts w:hint="eastAsia" w:ascii="仿宋_GB2312" w:eastAsia="仿宋_GB2312"/>
          <w:b w:val="0"/>
          <w:bCs w:val="0"/>
          <w:sz w:val="32"/>
          <w:szCs w:val="32"/>
        </w:rPr>
        <w:t>截至2023年</w:t>
      </w:r>
      <w:r>
        <w:rPr>
          <w:rFonts w:ascii="仿宋_GB2312" w:eastAsia="仿宋_GB2312"/>
          <w:b w:val="0"/>
          <w:bCs w:val="0"/>
          <w:sz w:val="32"/>
          <w:szCs w:val="32"/>
        </w:rPr>
        <w:t>12</w:t>
      </w:r>
      <w:r>
        <w:rPr>
          <w:rFonts w:hint="eastAsia" w:ascii="仿宋_GB2312" w:eastAsia="仿宋_GB2312"/>
          <w:b w:val="0"/>
          <w:bCs w:val="0"/>
          <w:sz w:val="32"/>
          <w:szCs w:val="32"/>
        </w:rPr>
        <w:t>月</w:t>
      </w:r>
      <w:r>
        <w:rPr>
          <w:rFonts w:ascii="仿宋_GB2312" w:eastAsia="仿宋_GB2312"/>
          <w:b w:val="0"/>
          <w:bCs w:val="0"/>
          <w:sz w:val="32"/>
          <w:szCs w:val="32"/>
        </w:rPr>
        <w:t>31</w:t>
      </w:r>
      <w:r>
        <w:rPr>
          <w:rFonts w:hint="eastAsia" w:ascii="仿宋_GB2312" w:eastAsia="仿宋_GB2312"/>
          <w:b w:val="0"/>
          <w:bCs w:val="0"/>
          <w:sz w:val="32"/>
          <w:szCs w:val="32"/>
        </w:rPr>
        <w:t>日，</w:t>
      </w:r>
      <w:r>
        <w:rPr>
          <w:rFonts w:ascii="仿宋_GB2312" w:eastAsia="仿宋_GB2312"/>
          <w:b w:val="0"/>
          <w:bCs w:val="0"/>
          <w:sz w:val="32"/>
          <w:szCs w:val="32"/>
        </w:rPr>
        <w:t>乐山市知识产权服务促进中心</w:t>
      </w:r>
      <w:r>
        <w:rPr>
          <w:rFonts w:hint="eastAsia" w:ascii="仿宋_GB2312" w:eastAsia="仿宋_GB2312"/>
          <w:b w:val="0"/>
          <w:bCs w:val="0"/>
          <w:sz w:val="32"/>
          <w:szCs w:val="32"/>
        </w:rPr>
        <w:t>共有车辆0辆，其中：主要领导干部用车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辆、机要通信用车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辆、应急保障用车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辆、其他用车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辆，其他用车主要是用于……。单价</w:t>
      </w:r>
      <w:r>
        <w:rPr>
          <w:rFonts w:ascii="仿宋_GB2312" w:eastAsia="仿宋_GB2312"/>
          <w:b w:val="0"/>
          <w:bCs w:val="0"/>
          <w:sz w:val="32"/>
          <w:szCs w:val="32"/>
        </w:rPr>
        <w:t>100</w:t>
      </w:r>
      <w:r>
        <w:rPr>
          <w:rFonts w:hint="eastAsia" w:ascii="仿宋_GB2312" w:eastAsia="仿宋_GB2312"/>
          <w:b w:val="0"/>
          <w:bCs w:val="0"/>
          <w:sz w:val="32"/>
          <w:szCs w:val="32"/>
        </w:rPr>
        <w:t>万元以上设备（不含车辆）</w:t>
      </w:r>
      <w:r>
        <w:rPr>
          <w:rFonts w:ascii="仿宋_GB2312" w:eastAsia="仿宋_GB2312"/>
          <w:b w:val="0"/>
          <w:bCs w:val="0"/>
          <w:sz w:val="32"/>
          <w:szCs w:val="32"/>
        </w:rPr>
        <w:t>0</w:t>
      </w:r>
      <w:r>
        <w:rPr>
          <w:rFonts w:hint="eastAsia" w:ascii="仿宋_GB2312" w:eastAsia="仿宋_GB2312"/>
          <w:b w:val="0"/>
          <w:bCs w:val="0"/>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0</w:t>
      </w:r>
      <w:r>
        <w:rPr>
          <w:rFonts w:hint="eastAsia" w:ascii="仿宋_GB2312" w:eastAsia="仿宋_GB2312"/>
          <w:sz w:val="32"/>
          <w:szCs w:val="32"/>
        </w:rPr>
        <w:t>项目（项目名称）等</w:t>
      </w:r>
      <w:r>
        <w:rPr>
          <w:rFonts w:hint="eastAsia" w:ascii="仿宋_GB2312" w:eastAsia="仿宋_GB2312"/>
          <w:sz w:val="32"/>
          <w:szCs w:val="32"/>
          <w:lang w:val="en-US" w:eastAsia="zh-CN"/>
        </w:rPr>
        <w:t>0</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9</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9</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9</w:t>
      </w:r>
      <w:r>
        <w:rPr>
          <w:rFonts w:hint="eastAsia" w:ascii="仿宋_GB2312" w:eastAsia="仿宋_GB2312"/>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firstLine="660" w:firstLineChars="150"/>
        <w:jc w:val="center"/>
        <w:outlineLvl w:val="0"/>
        <w:rPr>
          <w:rStyle w:val="27"/>
          <w:rFonts w:ascii="黑体" w:hAnsi="黑体" w:eastAsia="黑体"/>
          <w:b w:val="0"/>
        </w:rPr>
      </w:pPr>
      <w:bookmarkStart w:id="68" w:name="_Toc15377225"/>
      <w:bookmarkStart w:id="69" w:name="_Toc15396613"/>
      <w:bookmarkStart w:id="70" w:name="_Toc18984"/>
      <w:r>
        <w:rPr>
          <w:rFonts w:hint="eastAsia" w:ascii="黑体" w:hAnsi="黑体" w:eastAsia="黑体"/>
          <w:sz w:val="44"/>
          <w:szCs w:val="44"/>
        </w:rPr>
        <w:t>名</w:t>
      </w:r>
      <w:r>
        <w:rPr>
          <w:rStyle w:val="27"/>
          <w:rFonts w:hint="eastAsia" w:ascii="黑体" w:hAnsi="黑体" w:eastAsia="黑体"/>
          <w:b w:val="0"/>
        </w:rPr>
        <w:t>词解释</w:t>
      </w:r>
      <w:bookmarkEnd w:id="68"/>
      <w:bookmarkEnd w:id="69"/>
      <w:bookmarkEnd w:id="70"/>
    </w:p>
    <w:p>
      <w:pPr>
        <w:spacing w:line="600" w:lineRule="exact"/>
        <w:jc w:val="left"/>
        <w:rPr>
          <w:rFonts w:ascii="宋体"/>
          <w:b/>
          <w:sz w:val="44"/>
          <w:szCs w:val="44"/>
        </w:rPr>
      </w:pP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5"/>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spacing w:beforeLines="0" w:afterLines="0" w:line="576" w:lineRule="exact"/>
        <w:ind w:firstLine="640"/>
        <w:jc w:val="both"/>
      </w:pPr>
      <w:r>
        <w:rPr>
          <w:rFonts w:ascii="仿宋_GB2312" w:eastAsia="仿宋_GB2312"/>
          <w:sz w:val="32"/>
          <w:szCs w:val="32"/>
        </w:rPr>
        <w:t>9</w:t>
      </w:r>
      <w:r>
        <w:rPr>
          <w:rFonts w:hint="eastAsia" w:ascii="仿宋_GB2312" w:hAnsi="仿宋_GB2312" w:eastAsia="仿宋_GB2312"/>
          <w:color w:val="000000"/>
          <w:kern w:val="2"/>
          <w:sz w:val="32"/>
          <w:lang w:val="en-US"/>
        </w:rPr>
        <w:t>.一般公共服务（类）知识产权事务（款）行政运行（项）：指本单位的基本支出。一般公共服务（类）知识产权事务（款）  其他知识产权事务支出（项）：指项目以外其他用于知识产权事务方面的支出</w:t>
      </w:r>
    </w:p>
    <w:p>
      <w:pPr>
        <w:spacing w:beforeLines="0" w:afterLines="0" w:line="576" w:lineRule="exact"/>
        <w:ind w:firstLine="640"/>
        <w:jc w:val="both"/>
        <w:rPr>
          <w:rFonts w:hint="eastAsia" w:ascii="仿宋_GB2312" w:hAnsi="仿宋_GB2312" w:eastAsia="仿宋_GB2312"/>
          <w:color w:val="000000"/>
          <w:kern w:val="2"/>
          <w:sz w:val="32"/>
          <w:lang w:val="en-US"/>
        </w:rPr>
      </w:pPr>
      <w:r>
        <w:rPr>
          <w:rFonts w:ascii="仿宋_GB2312" w:eastAsia="仿宋_GB2312"/>
          <w:sz w:val="32"/>
          <w:szCs w:val="32"/>
        </w:rPr>
        <w:t>1</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hAnsi="仿宋_GB2312" w:eastAsia="仿宋_GB2312"/>
          <w:color w:val="000000"/>
          <w:kern w:val="2"/>
          <w:sz w:val="32"/>
          <w:lang w:val="en-US"/>
        </w:rPr>
        <w:t>社会保障和就业（类）行政事业单位离退休（款） 归口管理的行政单位离退休（项）指反映实行归口管理的行政单位（包括实行公务员管理的事业单位）开支的离退休经费。社会保障和就业（类）行政事业单位离退休（款）未归口管理的行政单位离退休（项）未实行归口管理的行政单位（包括实行公务员管理的事业单位）开支的离退休经费。社会保障和就业（类）行政事业单位离退休（款） 机关事业单位基本养老保险缴费支出（项）指单位实施养老保险制度由单位缴纳的基本养老保险费支出。社会保障和就业（类）行政事业单位离退休（款）机关事业单位职业年金缴费支出（项）指:机关事业单位实施养老保险制度由单位实际缴纳的职业年金支出。</w:t>
      </w:r>
    </w:p>
    <w:p>
      <w:pPr>
        <w:spacing w:beforeLines="0" w:afterLines="0" w:line="576" w:lineRule="exact"/>
        <w:ind w:firstLine="640"/>
        <w:jc w:val="both"/>
        <w:rPr>
          <w:rFonts w:hint="eastAsia" w:ascii="仿宋_GB2312" w:hAnsi="仿宋_GB2312" w:eastAsia="仿宋_GB2312"/>
          <w:color w:val="000000"/>
          <w:kern w:val="2"/>
          <w:sz w:val="32"/>
          <w:lang w:val="en-US" w:eastAsia="zh-CN"/>
        </w:rPr>
      </w:pPr>
      <w:r>
        <w:rPr>
          <w:rFonts w:hint="eastAsia" w:ascii="仿宋_GB2312" w:hAnsi="仿宋_GB2312" w:eastAsia="仿宋_GB2312"/>
          <w:color w:val="000000"/>
          <w:kern w:val="2"/>
          <w:sz w:val="32"/>
          <w:lang w:val="en-US" w:eastAsia="zh-CN"/>
        </w:rPr>
        <w:t>11.卫生健康</w:t>
      </w:r>
      <w:r>
        <w:rPr>
          <w:rFonts w:hint="eastAsia" w:ascii="仿宋_GB2312" w:hAnsi="仿宋_GB2312" w:eastAsia="仿宋_GB2312"/>
          <w:color w:val="000000"/>
          <w:kern w:val="2"/>
          <w:sz w:val="32"/>
          <w:lang w:val="en-US"/>
        </w:rPr>
        <w:t>（类）</w:t>
      </w:r>
      <w:r>
        <w:rPr>
          <w:rFonts w:hint="eastAsia" w:ascii="仿宋_GB2312" w:hAnsi="仿宋_GB2312" w:eastAsia="仿宋_GB2312"/>
          <w:color w:val="000000"/>
          <w:kern w:val="2"/>
          <w:sz w:val="32"/>
          <w:lang w:val="en-US" w:eastAsia="zh-CN"/>
        </w:rPr>
        <w:t>行政事业单位医疗</w:t>
      </w:r>
      <w:r>
        <w:rPr>
          <w:rFonts w:hint="eastAsia" w:ascii="仿宋_GB2312" w:hAnsi="仿宋_GB2312" w:eastAsia="仿宋_GB2312"/>
          <w:color w:val="000000"/>
          <w:kern w:val="2"/>
          <w:sz w:val="32"/>
          <w:lang w:val="en-US"/>
        </w:rPr>
        <w:t>（款）</w:t>
      </w:r>
      <w:r>
        <w:rPr>
          <w:rFonts w:hint="eastAsia" w:ascii="仿宋_GB2312" w:hAnsi="仿宋_GB2312" w:eastAsia="仿宋_GB2312"/>
          <w:color w:val="000000"/>
          <w:kern w:val="2"/>
          <w:sz w:val="32"/>
          <w:lang w:val="en-US" w:eastAsia="zh-CN"/>
        </w:rPr>
        <w:t>行政单位医疗</w:t>
      </w:r>
      <w:r>
        <w:rPr>
          <w:rFonts w:hint="eastAsia" w:ascii="仿宋_GB2312" w:hAnsi="仿宋_GB2312" w:eastAsia="仿宋_GB2312"/>
          <w:color w:val="000000"/>
          <w:kern w:val="2"/>
          <w:sz w:val="32"/>
          <w:lang w:val="en-US"/>
        </w:rPr>
        <w:t>（项）</w:t>
      </w:r>
      <w:r>
        <w:rPr>
          <w:rFonts w:hint="eastAsia" w:ascii="仿宋_GB2312" w:hAnsi="仿宋_GB2312" w:eastAsia="仿宋_GB2312"/>
          <w:color w:val="000000"/>
          <w:kern w:val="2"/>
          <w:sz w:val="32"/>
          <w:lang w:val="en-US" w:eastAsia="zh-CN"/>
        </w:rPr>
        <w:t>指</w:t>
      </w:r>
      <w:r>
        <w:rPr>
          <w:rFonts w:hint="eastAsia" w:ascii="仿宋_GB2312" w:hAnsi="仿宋_GB2312" w:eastAsia="仿宋_GB2312"/>
          <w:color w:val="000000"/>
          <w:kern w:val="2"/>
          <w:sz w:val="32"/>
          <w:lang w:val="en-US"/>
        </w:rPr>
        <w:t>财政部门集中安排的行政单位基本医疗保险缴费</w:t>
      </w:r>
      <w:r>
        <w:rPr>
          <w:rFonts w:hint="eastAsia" w:ascii="仿宋_GB2312" w:hAnsi="仿宋_GB2312" w:eastAsia="仿宋_GB2312"/>
          <w:color w:val="000000"/>
          <w:kern w:val="2"/>
          <w:sz w:val="32"/>
          <w:lang w:val="en-US" w:eastAsia="zh-CN"/>
        </w:rPr>
        <w:t>。</w:t>
      </w:r>
    </w:p>
    <w:p>
      <w:pPr>
        <w:spacing w:beforeLines="0" w:afterLines="0" w:line="576" w:lineRule="exact"/>
        <w:ind w:firstLine="640"/>
        <w:jc w:val="both"/>
        <w:rPr>
          <w:rFonts w:hint="eastAsia" w:ascii="仿宋_GB2312" w:hAnsi="仿宋_GB2312" w:eastAsia="仿宋_GB2312"/>
          <w:color w:val="000000"/>
          <w:kern w:val="2"/>
          <w:sz w:val="32"/>
          <w:lang w:val="en-US"/>
        </w:rPr>
      </w:pPr>
      <w:r>
        <w:rPr>
          <w:rFonts w:hint="eastAsia" w:ascii="仿宋_GB2312" w:hAnsi="仿宋_GB2312" w:eastAsia="仿宋_GB2312"/>
          <w:color w:val="000000"/>
          <w:kern w:val="2"/>
          <w:sz w:val="32"/>
          <w:lang w:val="en-US" w:eastAsia="zh-CN"/>
        </w:rPr>
        <w:t>12</w:t>
      </w:r>
      <w:r>
        <w:rPr>
          <w:rFonts w:hint="eastAsia" w:ascii="仿宋_GB2312" w:hAnsi="仿宋_GB2312" w:eastAsia="仿宋_GB2312"/>
          <w:color w:val="000000"/>
          <w:kern w:val="2"/>
          <w:sz w:val="32"/>
          <w:lang w:val="en-US"/>
        </w:rPr>
        <w:t>.住房保障支出（类）住房改革支出（款）住房公积金（项）指单位按人力资源和社会保障部、财政部规定的基本工资和津贴以及按规定比例为职工缴纳的住房公积金。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16</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17</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7"/>
          <w:rFonts w:ascii="黑体" w:hAnsi="黑体" w:eastAsia="黑体"/>
          <w:b w:val="0"/>
        </w:rPr>
      </w:pPr>
      <w:bookmarkStart w:id="71" w:name="_Toc15377226"/>
      <w:r>
        <w:rPr>
          <w:rFonts w:ascii="宋体"/>
          <w:b/>
          <w:sz w:val="44"/>
          <w:szCs w:val="44"/>
        </w:rPr>
        <w:br w:type="page"/>
      </w:r>
      <w:bookmarkStart w:id="72" w:name="_Toc20927"/>
      <w:bookmarkStart w:id="73" w:name="_Toc15396614"/>
      <w:r>
        <w:rPr>
          <w:rFonts w:hint="eastAsia" w:ascii="黑体" w:hAnsi="黑体" w:eastAsia="黑体"/>
          <w:sz w:val="44"/>
          <w:szCs w:val="44"/>
        </w:rPr>
        <w:t>第</w:t>
      </w:r>
      <w:r>
        <w:rPr>
          <w:rStyle w:val="27"/>
          <w:rFonts w:hint="eastAsia" w:ascii="黑体" w:hAnsi="黑体" w:eastAsia="黑体"/>
          <w:b w:val="0"/>
        </w:rPr>
        <w:t>四部分 附件</w:t>
      </w:r>
      <w:bookmarkEnd w:id="72"/>
      <w:bookmarkEnd w:id="73"/>
    </w:p>
    <w:p>
      <w:pPr>
        <w:spacing w:line="572" w:lineRule="exact"/>
        <w:jc w:val="left"/>
        <w:outlineLvl w:val="9"/>
        <w:rPr>
          <w:rFonts w:ascii="仿宋_GB2312" w:hAnsi="仿宋_GB2312" w:eastAsia="仿宋_GB2312" w:cs="仿宋_GB2312"/>
          <w:sz w:val="32"/>
          <w:szCs w:val="32"/>
        </w:rPr>
      </w:pPr>
    </w:p>
    <w:p>
      <w:pPr>
        <w:spacing w:line="600" w:lineRule="exact"/>
        <w:jc w:val="center"/>
        <w:outlineLvl w:val="0"/>
        <w:rPr>
          <w:rFonts w:hint="eastAsia" w:hAnsi="Calibri" w:eastAsia="仿宋_GB2312" w:cs="仿宋"/>
          <w:sz w:val="32"/>
          <w:lang w:val="zh-CN"/>
        </w:rPr>
      </w:pPr>
      <w:bookmarkStart w:id="74" w:name="_Toc26226"/>
      <w:bookmarkStart w:id="75" w:name="_Toc15396618"/>
      <w:r>
        <w:rPr>
          <w:rFonts w:hint="eastAsia"/>
          <w:sz w:val="32"/>
          <w:szCs w:val="32"/>
        </w:rPr>
        <w:t>部门预算项目支出绩效自评表（2023年度）</w:t>
      </w:r>
      <w:bookmarkEnd w:id="74"/>
    </w:p>
    <w:tbl>
      <w:tblPr>
        <w:tblStyle w:val="14"/>
        <w:tblW w:w="9240" w:type="dxa"/>
        <w:tblInd w:w="0" w:type="dxa"/>
        <w:shd w:val="clear" w:color="auto" w:fill="auto"/>
        <w:tblLayout w:type="autofit"/>
        <w:tblCellMar>
          <w:top w:w="0" w:type="dxa"/>
          <w:left w:w="0" w:type="dxa"/>
          <w:bottom w:w="0" w:type="dxa"/>
          <w:right w:w="0" w:type="dxa"/>
        </w:tblCellMar>
      </w:tblPr>
      <w:tblGrid>
        <w:gridCol w:w="464"/>
        <w:gridCol w:w="1410"/>
        <w:gridCol w:w="1080"/>
        <w:gridCol w:w="1440"/>
        <w:gridCol w:w="360"/>
        <w:gridCol w:w="390"/>
        <w:gridCol w:w="420"/>
        <w:gridCol w:w="960"/>
        <w:gridCol w:w="505"/>
        <w:gridCol w:w="456"/>
        <w:gridCol w:w="1755"/>
      </w:tblGrid>
      <w:tr>
        <w:tblPrEx>
          <w:shd w:val="clear" w:color="auto" w:fill="auto"/>
          <w:tblCellMar>
            <w:top w:w="0" w:type="dxa"/>
            <w:left w:w="0" w:type="dxa"/>
            <w:bottom w:w="0" w:type="dxa"/>
            <w:right w:w="0" w:type="dxa"/>
          </w:tblCellMar>
        </w:tblPrEx>
        <w:trPr>
          <w:trHeight w:val="904" w:hRule="atLeast"/>
        </w:trPr>
        <w:tc>
          <w:tcPr>
            <w:tcW w:w="924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CellMar>
            <w:top w:w="0" w:type="dxa"/>
            <w:left w:w="0" w:type="dxa"/>
            <w:bottom w:w="0" w:type="dxa"/>
            <w:right w:w="0"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51000021R000000019951-工资性支出</w:t>
            </w:r>
          </w:p>
        </w:tc>
      </w:tr>
      <w:tr>
        <w:tblPrEx>
          <w:tblCellMar>
            <w:top w:w="0" w:type="dxa"/>
            <w:left w:w="0" w:type="dxa"/>
            <w:bottom w:w="0" w:type="dxa"/>
            <w:right w:w="0"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乐山市市场监督管理局</w:t>
            </w:r>
          </w:p>
        </w:tc>
        <w:tc>
          <w:tcPr>
            <w:tcW w:w="96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乐山市知识产权服务促进中心</w:t>
            </w:r>
          </w:p>
        </w:tc>
      </w:tr>
      <w:tr>
        <w:tblPrEx>
          <w:tblCellMar>
            <w:top w:w="0" w:type="dxa"/>
            <w:left w:w="0" w:type="dxa"/>
            <w:bottom w:w="0" w:type="dxa"/>
            <w:right w:w="0" w:type="dxa"/>
          </w:tblCellMar>
        </w:tblPrEx>
        <w:trPr>
          <w:trHeight w:val="286"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6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6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tblPrEx>
          <w:tblCellMar>
            <w:top w:w="0" w:type="dxa"/>
            <w:left w:w="0" w:type="dxa"/>
            <w:bottom w:w="0" w:type="dxa"/>
            <w:right w:w="0" w:type="dxa"/>
          </w:tblCellMar>
        </w:tblPrEx>
        <w:trPr>
          <w:trHeight w:val="693"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8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5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75.59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62.73</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62.73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0" w:type="dxa"/>
            <w:bottom w:w="0" w:type="dxa"/>
            <w:right w:w="0" w:type="dxa"/>
          </w:tblCellMar>
        </w:tblPrEx>
        <w:trPr>
          <w:trHeight w:val="5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75.59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62.73</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62.73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5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5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5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5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5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52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tblPrEx>
          <w:tblCellMar>
            <w:top w:w="0" w:type="dxa"/>
            <w:left w:w="0" w:type="dxa"/>
            <w:bottom w:w="0" w:type="dxa"/>
            <w:right w:w="0" w:type="dxa"/>
          </w:tblCellMar>
        </w:tblPrEx>
        <w:trPr>
          <w:trHeight w:val="572"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tblPrEx>
          <w:tblCellMar>
            <w:top w:w="0" w:type="dxa"/>
            <w:left w:w="0" w:type="dxa"/>
            <w:bottom w:w="0" w:type="dxa"/>
            <w:right w:w="0" w:type="dxa"/>
          </w:tblCellMar>
        </w:tblPrEx>
        <w:trPr>
          <w:trHeight w:val="633"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tblPrEx>
          <w:tblCellMar>
            <w:top w:w="0" w:type="dxa"/>
            <w:left w:w="0" w:type="dxa"/>
            <w:bottom w:w="0" w:type="dxa"/>
            <w:right w:w="0" w:type="dxa"/>
          </w:tblCellMar>
        </w:tblPrEx>
        <w:trPr>
          <w:trHeight w:val="286" w:hRule="atLeast"/>
        </w:trPr>
        <w:tc>
          <w:tcPr>
            <w:tcW w:w="47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48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CellMar>
            <w:top w:w="0" w:type="dxa"/>
            <w:left w:w="0" w:type="dxa"/>
            <w:bottom w:w="0" w:type="dxa"/>
            <w:right w:w="0" w:type="dxa"/>
          </w:tblCellMar>
        </w:tblPrEx>
        <w:trPr>
          <w:trHeight w:val="286" w:hRule="atLeast"/>
        </w:trPr>
        <w:tc>
          <w:tcPr>
            <w:tcW w:w="4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924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CellMar>
            <w:top w:w="0" w:type="dxa"/>
            <w:left w:w="0" w:type="dxa"/>
            <w:bottom w:w="0" w:type="dxa"/>
            <w:right w:w="0"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51000021R000000019953-单位缴费</w:t>
            </w:r>
          </w:p>
        </w:tc>
      </w:tr>
      <w:tr>
        <w:tblPrEx>
          <w:tblCellMar>
            <w:top w:w="0" w:type="dxa"/>
            <w:left w:w="0" w:type="dxa"/>
            <w:bottom w:w="0" w:type="dxa"/>
            <w:right w:w="0"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乐山市市场监督管理局</w:t>
            </w:r>
          </w:p>
        </w:tc>
        <w:tc>
          <w:tcPr>
            <w:tcW w:w="96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乐山市知识产权服务促进中心</w:t>
            </w:r>
          </w:p>
        </w:tc>
      </w:tr>
      <w:tr>
        <w:tblPrEx>
          <w:tblCellMar>
            <w:top w:w="0" w:type="dxa"/>
            <w:left w:w="0" w:type="dxa"/>
            <w:bottom w:w="0" w:type="dxa"/>
            <w:right w:w="0" w:type="dxa"/>
          </w:tblCellMar>
        </w:tblPrEx>
        <w:trPr>
          <w:trHeight w:val="286"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6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6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tblPrEx>
          <w:tblCellMar>
            <w:top w:w="0" w:type="dxa"/>
            <w:left w:w="0" w:type="dxa"/>
            <w:bottom w:w="0" w:type="dxa"/>
            <w:right w:w="0" w:type="dxa"/>
          </w:tblCellMar>
        </w:tblPrEx>
        <w:trPr>
          <w:trHeight w:val="693"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6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48.85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48.47</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48.47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0" w:type="dxa"/>
            <w:bottom w:w="0" w:type="dxa"/>
            <w:right w:w="0" w:type="dxa"/>
          </w:tblCellMar>
        </w:tblPrEx>
        <w:trPr>
          <w:trHeight w:val="6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48.85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48.47</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48.47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6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6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6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52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52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tblPrEx>
          <w:tblCellMar>
            <w:top w:w="0" w:type="dxa"/>
            <w:left w:w="0" w:type="dxa"/>
            <w:bottom w:w="0" w:type="dxa"/>
            <w:right w:w="0" w:type="dxa"/>
          </w:tblCellMar>
        </w:tblPrEx>
        <w:trPr>
          <w:trHeight w:val="572"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tblPrEx>
          <w:tblCellMar>
            <w:top w:w="0" w:type="dxa"/>
            <w:left w:w="0" w:type="dxa"/>
            <w:bottom w:w="0" w:type="dxa"/>
            <w:right w:w="0" w:type="dxa"/>
          </w:tblCellMar>
        </w:tblPrEx>
        <w:trPr>
          <w:trHeight w:val="633"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tblPrEx>
          <w:tblCellMar>
            <w:top w:w="0" w:type="dxa"/>
            <w:left w:w="0" w:type="dxa"/>
            <w:bottom w:w="0" w:type="dxa"/>
            <w:right w:w="0" w:type="dxa"/>
          </w:tblCellMar>
        </w:tblPrEx>
        <w:trPr>
          <w:trHeight w:val="286" w:hRule="atLeast"/>
        </w:trPr>
        <w:tc>
          <w:tcPr>
            <w:tcW w:w="47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48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CellMar>
            <w:top w:w="0" w:type="dxa"/>
            <w:left w:w="0" w:type="dxa"/>
            <w:bottom w:w="0" w:type="dxa"/>
            <w:right w:w="0" w:type="dxa"/>
          </w:tblCellMar>
        </w:tblPrEx>
        <w:trPr>
          <w:trHeight w:val="286" w:hRule="atLeast"/>
        </w:trPr>
        <w:tc>
          <w:tcPr>
            <w:tcW w:w="4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924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CellMar>
            <w:top w:w="0" w:type="dxa"/>
            <w:left w:w="0" w:type="dxa"/>
            <w:bottom w:w="0" w:type="dxa"/>
            <w:right w:w="0"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51000021Y000000011490-日常公用经费</w:t>
            </w:r>
          </w:p>
        </w:tc>
      </w:tr>
      <w:tr>
        <w:tblPrEx>
          <w:tblCellMar>
            <w:top w:w="0" w:type="dxa"/>
            <w:left w:w="0" w:type="dxa"/>
            <w:bottom w:w="0" w:type="dxa"/>
            <w:right w:w="0"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乐山市市场监督管理局</w:t>
            </w:r>
          </w:p>
        </w:tc>
        <w:tc>
          <w:tcPr>
            <w:tcW w:w="96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乐山市知识产权服务促进中心</w:t>
            </w:r>
          </w:p>
        </w:tc>
      </w:tr>
      <w:tr>
        <w:tblPrEx>
          <w:tblCellMar>
            <w:top w:w="0" w:type="dxa"/>
            <w:left w:w="0" w:type="dxa"/>
            <w:bottom w:w="0" w:type="dxa"/>
            <w:right w:w="0" w:type="dxa"/>
          </w:tblCellMar>
        </w:tblPrEx>
        <w:trPr>
          <w:trHeight w:val="286"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6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36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tblPrEx>
          <w:tblCellMar>
            <w:top w:w="0" w:type="dxa"/>
            <w:left w:w="0" w:type="dxa"/>
            <w:bottom w:w="0" w:type="dxa"/>
            <w:right w:w="0" w:type="dxa"/>
          </w:tblCellMar>
        </w:tblPrEx>
        <w:trPr>
          <w:trHeight w:val="693"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1"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46"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8.31</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8.31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0" w:type="dxa"/>
            <w:bottom w:w="0" w:type="dxa"/>
            <w:right w:w="0" w:type="dxa"/>
          </w:tblCellMar>
        </w:tblPrEx>
        <w:trPr>
          <w:trHeight w:val="391"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8.31</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8.31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7"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61"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39"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106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122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5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52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tblPrEx>
          <w:tblCellMar>
            <w:top w:w="0" w:type="dxa"/>
            <w:left w:w="0" w:type="dxa"/>
            <w:bottom w:w="0" w:type="dxa"/>
            <w:right w:w="0" w:type="dxa"/>
          </w:tblCellMar>
        </w:tblPrEx>
        <w:trPr>
          <w:trHeight w:val="572"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tblPrEx>
          <w:tblCellMar>
            <w:top w:w="0" w:type="dxa"/>
            <w:left w:w="0" w:type="dxa"/>
            <w:bottom w:w="0" w:type="dxa"/>
            <w:right w:w="0" w:type="dxa"/>
          </w:tblCellMar>
        </w:tblPrEx>
        <w:trPr>
          <w:trHeight w:val="633"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tblPrEx>
          <w:tblCellMar>
            <w:top w:w="0" w:type="dxa"/>
            <w:left w:w="0" w:type="dxa"/>
            <w:bottom w:w="0" w:type="dxa"/>
            <w:right w:w="0" w:type="dxa"/>
          </w:tblCellMar>
        </w:tblPrEx>
        <w:trPr>
          <w:trHeight w:val="286" w:hRule="atLeast"/>
        </w:trPr>
        <w:tc>
          <w:tcPr>
            <w:tcW w:w="47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48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CellMar>
            <w:top w:w="0" w:type="dxa"/>
            <w:left w:w="0" w:type="dxa"/>
            <w:bottom w:w="0" w:type="dxa"/>
            <w:right w:w="0" w:type="dxa"/>
          </w:tblCellMar>
        </w:tblPrEx>
        <w:trPr>
          <w:trHeight w:val="286" w:hRule="atLeast"/>
        </w:trPr>
        <w:tc>
          <w:tcPr>
            <w:tcW w:w="4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924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CellMar>
            <w:top w:w="0" w:type="dxa"/>
            <w:left w:w="0" w:type="dxa"/>
            <w:bottom w:w="0" w:type="dxa"/>
            <w:right w:w="0"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51000021Y000000011491-非定额公用经费</w:t>
            </w:r>
          </w:p>
        </w:tc>
      </w:tr>
      <w:tr>
        <w:tblPrEx>
          <w:tblCellMar>
            <w:top w:w="0" w:type="dxa"/>
            <w:left w:w="0" w:type="dxa"/>
            <w:bottom w:w="0" w:type="dxa"/>
            <w:right w:w="0"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乐山市市场监督管理局</w:t>
            </w:r>
          </w:p>
        </w:tc>
        <w:tc>
          <w:tcPr>
            <w:tcW w:w="96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乐山市知识产权服务促进中心</w:t>
            </w:r>
          </w:p>
        </w:tc>
      </w:tr>
      <w:tr>
        <w:tblPrEx>
          <w:tblCellMar>
            <w:top w:w="0" w:type="dxa"/>
            <w:left w:w="0" w:type="dxa"/>
            <w:bottom w:w="0" w:type="dxa"/>
            <w:right w:w="0" w:type="dxa"/>
          </w:tblCellMar>
        </w:tblPrEx>
        <w:trPr>
          <w:trHeight w:val="286"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6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36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tblPrEx>
          <w:tblCellMar>
            <w:top w:w="0" w:type="dxa"/>
            <w:left w:w="0" w:type="dxa"/>
            <w:bottom w:w="0" w:type="dxa"/>
            <w:right w:w="0" w:type="dxa"/>
          </w:tblCellMar>
        </w:tblPrEx>
        <w:trPr>
          <w:trHeight w:val="693"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1"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46"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20.77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16.53</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0" w:type="dxa"/>
            <w:bottom w:w="0" w:type="dxa"/>
            <w:right w:w="0" w:type="dxa"/>
          </w:tblCellMar>
        </w:tblPrEx>
        <w:trPr>
          <w:trHeight w:val="391"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20.77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16.53</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7"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61"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39"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11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126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5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52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tblPrEx>
          <w:tblCellMar>
            <w:top w:w="0" w:type="dxa"/>
            <w:left w:w="0" w:type="dxa"/>
            <w:bottom w:w="0" w:type="dxa"/>
            <w:right w:w="0" w:type="dxa"/>
          </w:tblCellMar>
        </w:tblPrEx>
        <w:trPr>
          <w:trHeight w:val="572"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tblPrEx>
          <w:tblCellMar>
            <w:top w:w="0" w:type="dxa"/>
            <w:left w:w="0" w:type="dxa"/>
            <w:bottom w:w="0" w:type="dxa"/>
            <w:right w:w="0" w:type="dxa"/>
          </w:tblCellMar>
        </w:tblPrEx>
        <w:trPr>
          <w:trHeight w:val="633"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tblPrEx>
          <w:tblCellMar>
            <w:top w:w="0" w:type="dxa"/>
            <w:left w:w="0" w:type="dxa"/>
            <w:bottom w:w="0" w:type="dxa"/>
            <w:right w:w="0" w:type="dxa"/>
          </w:tblCellMar>
        </w:tblPrEx>
        <w:trPr>
          <w:trHeight w:val="286" w:hRule="atLeast"/>
        </w:trPr>
        <w:tc>
          <w:tcPr>
            <w:tcW w:w="47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48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CellMar>
            <w:top w:w="0" w:type="dxa"/>
            <w:left w:w="0" w:type="dxa"/>
            <w:bottom w:w="0" w:type="dxa"/>
            <w:right w:w="0" w:type="dxa"/>
          </w:tblCellMar>
        </w:tblPrEx>
        <w:trPr>
          <w:trHeight w:val="286" w:hRule="atLeast"/>
        </w:trPr>
        <w:tc>
          <w:tcPr>
            <w:tcW w:w="4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924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CellMar>
            <w:top w:w="0" w:type="dxa"/>
            <w:left w:w="0" w:type="dxa"/>
            <w:bottom w:w="0" w:type="dxa"/>
            <w:right w:w="0"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51110022R000005739893-绩效奖及离退休慰问金</w:t>
            </w:r>
          </w:p>
        </w:tc>
      </w:tr>
      <w:tr>
        <w:tblPrEx>
          <w:tblCellMar>
            <w:top w:w="0" w:type="dxa"/>
            <w:left w:w="0" w:type="dxa"/>
            <w:bottom w:w="0" w:type="dxa"/>
            <w:right w:w="0"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乐山市市场监督管理局</w:t>
            </w:r>
          </w:p>
        </w:tc>
        <w:tc>
          <w:tcPr>
            <w:tcW w:w="96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乐山市知识产权服务促进中心</w:t>
            </w:r>
          </w:p>
        </w:tc>
      </w:tr>
      <w:tr>
        <w:tblPrEx>
          <w:tblCellMar>
            <w:top w:w="0" w:type="dxa"/>
            <w:left w:w="0" w:type="dxa"/>
            <w:bottom w:w="0" w:type="dxa"/>
            <w:right w:w="0" w:type="dxa"/>
          </w:tblCellMar>
        </w:tblPrEx>
        <w:trPr>
          <w:trHeight w:val="286"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6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6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tblPrEx>
          <w:tblCellMar>
            <w:top w:w="0" w:type="dxa"/>
            <w:left w:w="0" w:type="dxa"/>
            <w:bottom w:w="0" w:type="dxa"/>
            <w:right w:w="0" w:type="dxa"/>
          </w:tblCellMar>
        </w:tblPrEx>
        <w:trPr>
          <w:trHeight w:val="693"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35.11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64.41</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64.41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0" w:type="dxa"/>
            <w:bottom w:w="0" w:type="dxa"/>
            <w:right w:w="0"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35.11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64.41</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64.41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5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52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tblPrEx>
          <w:tblCellMar>
            <w:top w:w="0" w:type="dxa"/>
            <w:left w:w="0" w:type="dxa"/>
            <w:bottom w:w="0" w:type="dxa"/>
            <w:right w:w="0" w:type="dxa"/>
          </w:tblCellMar>
        </w:tblPrEx>
        <w:trPr>
          <w:trHeight w:val="572"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tblPrEx>
          <w:tblCellMar>
            <w:top w:w="0" w:type="dxa"/>
            <w:left w:w="0" w:type="dxa"/>
            <w:bottom w:w="0" w:type="dxa"/>
            <w:right w:w="0" w:type="dxa"/>
          </w:tblCellMar>
        </w:tblPrEx>
        <w:trPr>
          <w:trHeight w:val="633"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tblPrEx>
          <w:tblCellMar>
            <w:top w:w="0" w:type="dxa"/>
            <w:left w:w="0" w:type="dxa"/>
            <w:bottom w:w="0" w:type="dxa"/>
            <w:right w:w="0" w:type="dxa"/>
          </w:tblCellMar>
        </w:tblPrEx>
        <w:trPr>
          <w:trHeight w:val="286" w:hRule="atLeast"/>
        </w:trPr>
        <w:tc>
          <w:tcPr>
            <w:tcW w:w="47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48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CellMar>
            <w:top w:w="0" w:type="dxa"/>
            <w:left w:w="0" w:type="dxa"/>
            <w:bottom w:w="0" w:type="dxa"/>
            <w:right w:w="0" w:type="dxa"/>
          </w:tblCellMar>
        </w:tblPrEx>
        <w:trPr>
          <w:trHeight w:val="286" w:hRule="atLeast"/>
        </w:trPr>
        <w:tc>
          <w:tcPr>
            <w:tcW w:w="4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924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CellMar>
            <w:top w:w="0" w:type="dxa"/>
            <w:left w:w="0" w:type="dxa"/>
            <w:bottom w:w="0" w:type="dxa"/>
            <w:right w:w="0"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51110022T000000291905-国家知识产权试点城市资金</w:t>
            </w:r>
          </w:p>
        </w:tc>
      </w:tr>
      <w:tr>
        <w:tblPrEx>
          <w:tblCellMar>
            <w:top w:w="0" w:type="dxa"/>
            <w:left w:w="0" w:type="dxa"/>
            <w:bottom w:w="0" w:type="dxa"/>
            <w:right w:w="0"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乐山市市场监督管理局</w:t>
            </w:r>
          </w:p>
        </w:tc>
        <w:tc>
          <w:tcPr>
            <w:tcW w:w="96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乐山市知识产权服务促进中心</w:t>
            </w:r>
          </w:p>
        </w:tc>
      </w:tr>
      <w:tr>
        <w:tblPrEx>
          <w:tblCellMar>
            <w:top w:w="0" w:type="dxa"/>
            <w:left w:w="0" w:type="dxa"/>
            <w:bottom w:w="0" w:type="dxa"/>
            <w:right w:w="0" w:type="dxa"/>
          </w:tblCellMar>
        </w:tblPrEx>
        <w:trPr>
          <w:trHeight w:val="48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6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25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紧扣全市经济工作主题，建立与我市经济社会发展要求相适应的知识产权管理、维权服务工作新体系，以国家知识产权试点城市建设为主线，务实开展知识产权创造、运用、维权、管理和服务，构建有利于知识产权创造和运用的市、县（市区）联动，部门协作的工作新机制，营造尊重和保护知识产权的良好法治、舆论环境，把乐山市建设成为创造优势、运用优势、保护优势的知识产权试点城市，为全市经济社会高质量发展提供有力支撑，成为四川省和西部地区具有引领作用的试点城市。</w:t>
            </w:r>
          </w:p>
        </w:tc>
        <w:tc>
          <w:tcPr>
            <w:tcW w:w="36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tblPrEx>
          <w:tblCellMar>
            <w:top w:w="0" w:type="dxa"/>
            <w:left w:w="0" w:type="dxa"/>
            <w:bottom w:w="0" w:type="dxa"/>
            <w:right w:w="0" w:type="dxa"/>
          </w:tblCellMar>
        </w:tblPrEx>
        <w:trPr>
          <w:trHeight w:val="693"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1"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46"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0" w:type="dxa"/>
            <w:bottom w:w="0" w:type="dxa"/>
            <w:right w:w="0" w:type="dxa"/>
          </w:tblCellMar>
        </w:tblPrEx>
        <w:trPr>
          <w:trHeight w:val="391"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7"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61"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39"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7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知识产权质押融资评估费、担保费、保险费等</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家</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6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设立知识产权保护分中心</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6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维权工作优异的工作站</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按时进行组织申报</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5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创新维权服务工作新体系</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62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评选维权工作优异</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52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tblPrEx>
          <w:tblCellMar>
            <w:top w:w="0" w:type="dxa"/>
            <w:left w:w="0" w:type="dxa"/>
            <w:bottom w:w="0" w:type="dxa"/>
            <w:right w:w="0" w:type="dxa"/>
          </w:tblCellMar>
        </w:tblPrEx>
        <w:trPr>
          <w:trHeight w:val="572"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tblPrEx>
          <w:tblCellMar>
            <w:top w:w="0" w:type="dxa"/>
            <w:left w:w="0" w:type="dxa"/>
            <w:bottom w:w="0" w:type="dxa"/>
            <w:right w:w="0" w:type="dxa"/>
          </w:tblCellMar>
        </w:tblPrEx>
        <w:trPr>
          <w:trHeight w:val="633"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tblPrEx>
          <w:tblCellMar>
            <w:top w:w="0" w:type="dxa"/>
            <w:left w:w="0" w:type="dxa"/>
            <w:bottom w:w="0" w:type="dxa"/>
            <w:right w:w="0" w:type="dxa"/>
          </w:tblCellMar>
        </w:tblPrEx>
        <w:trPr>
          <w:trHeight w:val="286" w:hRule="atLeast"/>
        </w:trPr>
        <w:tc>
          <w:tcPr>
            <w:tcW w:w="47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48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CellMar>
            <w:top w:w="0" w:type="dxa"/>
            <w:left w:w="0" w:type="dxa"/>
            <w:bottom w:w="0" w:type="dxa"/>
            <w:right w:w="0" w:type="dxa"/>
          </w:tblCellMar>
        </w:tblPrEx>
        <w:trPr>
          <w:trHeight w:val="286" w:hRule="atLeast"/>
        </w:trPr>
        <w:tc>
          <w:tcPr>
            <w:tcW w:w="4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924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CellMar>
            <w:top w:w="0" w:type="dxa"/>
            <w:left w:w="0" w:type="dxa"/>
            <w:bottom w:w="0" w:type="dxa"/>
            <w:right w:w="0"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51110022T000007005255-省级知识产权专项资金</w:t>
            </w:r>
          </w:p>
        </w:tc>
      </w:tr>
      <w:tr>
        <w:tblPrEx>
          <w:tblCellMar>
            <w:top w:w="0" w:type="dxa"/>
            <w:left w:w="0" w:type="dxa"/>
            <w:bottom w:w="0" w:type="dxa"/>
            <w:right w:w="0"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乐山市市场监督管理局</w:t>
            </w:r>
          </w:p>
        </w:tc>
        <w:tc>
          <w:tcPr>
            <w:tcW w:w="96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乐山市知识产权服务促进中心</w:t>
            </w:r>
          </w:p>
        </w:tc>
      </w:tr>
      <w:tr>
        <w:tblPrEx>
          <w:tblCellMar>
            <w:top w:w="0" w:type="dxa"/>
            <w:left w:w="0" w:type="dxa"/>
            <w:bottom w:w="0" w:type="dxa"/>
            <w:right w:w="0" w:type="dxa"/>
          </w:tblCellMar>
        </w:tblPrEx>
        <w:trPr>
          <w:trHeight w:val="286"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6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支持知识产权创新主体发展及公共服务及维权保护。</w:t>
            </w:r>
          </w:p>
        </w:tc>
        <w:tc>
          <w:tcPr>
            <w:tcW w:w="36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tblPrEx>
          <w:tblCellMar>
            <w:top w:w="0" w:type="dxa"/>
            <w:left w:w="0" w:type="dxa"/>
            <w:bottom w:w="0" w:type="dxa"/>
            <w:right w:w="0" w:type="dxa"/>
          </w:tblCellMar>
        </w:tblPrEx>
        <w:trPr>
          <w:trHeight w:val="693"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1"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0" w:type="dxa"/>
            <w:bottom w:w="0" w:type="dxa"/>
            <w:right w:w="0"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52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培育国家知识产权强县建设</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6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地理标志品牌培育</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72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省级知识产权试点园区、试点学校</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高价值专利布局</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7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行业知识产权纠纷人民调解能力提升</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2"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52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tblPrEx>
          <w:tblCellMar>
            <w:top w:w="0" w:type="dxa"/>
            <w:left w:w="0" w:type="dxa"/>
            <w:bottom w:w="0" w:type="dxa"/>
            <w:right w:w="0" w:type="dxa"/>
          </w:tblCellMar>
        </w:tblPrEx>
        <w:trPr>
          <w:trHeight w:val="572"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tblPrEx>
          <w:tblCellMar>
            <w:top w:w="0" w:type="dxa"/>
            <w:left w:w="0" w:type="dxa"/>
            <w:bottom w:w="0" w:type="dxa"/>
            <w:right w:w="0" w:type="dxa"/>
          </w:tblCellMar>
        </w:tblPrEx>
        <w:trPr>
          <w:trHeight w:val="633"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tblPrEx>
          <w:tblCellMar>
            <w:top w:w="0" w:type="dxa"/>
            <w:left w:w="0" w:type="dxa"/>
            <w:bottom w:w="0" w:type="dxa"/>
            <w:right w:w="0" w:type="dxa"/>
          </w:tblCellMar>
        </w:tblPrEx>
        <w:trPr>
          <w:trHeight w:val="286" w:hRule="atLeast"/>
        </w:trPr>
        <w:tc>
          <w:tcPr>
            <w:tcW w:w="47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48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CellMar>
            <w:top w:w="0" w:type="dxa"/>
            <w:left w:w="0" w:type="dxa"/>
            <w:bottom w:w="0" w:type="dxa"/>
            <w:right w:w="0" w:type="dxa"/>
          </w:tblCellMar>
        </w:tblPrEx>
        <w:trPr>
          <w:trHeight w:val="286" w:hRule="atLeast"/>
        </w:trPr>
        <w:tc>
          <w:tcPr>
            <w:tcW w:w="4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924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CellMar>
            <w:top w:w="0" w:type="dxa"/>
            <w:left w:w="0" w:type="dxa"/>
            <w:bottom w:w="0" w:type="dxa"/>
            <w:right w:w="0"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51110023R000008167351-财政其他追加</w:t>
            </w:r>
          </w:p>
        </w:tc>
      </w:tr>
      <w:tr>
        <w:tblPrEx>
          <w:tblCellMar>
            <w:top w:w="0" w:type="dxa"/>
            <w:left w:w="0" w:type="dxa"/>
            <w:bottom w:w="0" w:type="dxa"/>
            <w:right w:w="0"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乐山市市场监督管理局</w:t>
            </w:r>
          </w:p>
        </w:tc>
        <w:tc>
          <w:tcPr>
            <w:tcW w:w="96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乐山市知识产权服务促进中心</w:t>
            </w:r>
          </w:p>
        </w:tc>
      </w:tr>
      <w:tr>
        <w:tblPrEx>
          <w:tblCellMar>
            <w:top w:w="0" w:type="dxa"/>
            <w:left w:w="0" w:type="dxa"/>
            <w:bottom w:w="0" w:type="dxa"/>
            <w:right w:w="0" w:type="dxa"/>
          </w:tblCellMar>
        </w:tblPrEx>
        <w:trPr>
          <w:trHeight w:val="286"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6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6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tblPrEx>
          <w:tblCellMar>
            <w:top w:w="0" w:type="dxa"/>
            <w:left w:w="0" w:type="dxa"/>
            <w:bottom w:w="0" w:type="dxa"/>
            <w:right w:w="0" w:type="dxa"/>
          </w:tblCellMar>
        </w:tblPrEx>
        <w:trPr>
          <w:trHeight w:val="693"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0" w:type="dxa"/>
            <w:bottom w:w="0" w:type="dxa"/>
            <w:right w:w="0"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5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6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52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tblPrEx>
          <w:tblCellMar>
            <w:top w:w="0" w:type="dxa"/>
            <w:left w:w="0" w:type="dxa"/>
            <w:bottom w:w="0" w:type="dxa"/>
            <w:right w:w="0" w:type="dxa"/>
          </w:tblCellMar>
        </w:tblPrEx>
        <w:trPr>
          <w:trHeight w:val="572"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tblPrEx>
          <w:tblCellMar>
            <w:top w:w="0" w:type="dxa"/>
            <w:left w:w="0" w:type="dxa"/>
            <w:bottom w:w="0" w:type="dxa"/>
            <w:right w:w="0" w:type="dxa"/>
          </w:tblCellMar>
        </w:tblPrEx>
        <w:trPr>
          <w:trHeight w:val="633"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tblPrEx>
          <w:tblCellMar>
            <w:top w:w="0" w:type="dxa"/>
            <w:left w:w="0" w:type="dxa"/>
            <w:bottom w:w="0" w:type="dxa"/>
            <w:right w:w="0" w:type="dxa"/>
          </w:tblCellMar>
        </w:tblPrEx>
        <w:trPr>
          <w:trHeight w:val="286" w:hRule="atLeast"/>
        </w:trPr>
        <w:tc>
          <w:tcPr>
            <w:tcW w:w="47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48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CellMar>
            <w:top w:w="0" w:type="dxa"/>
            <w:left w:w="0" w:type="dxa"/>
            <w:bottom w:w="0" w:type="dxa"/>
            <w:right w:w="0" w:type="dxa"/>
          </w:tblCellMar>
        </w:tblPrEx>
        <w:trPr>
          <w:trHeight w:val="286" w:hRule="atLeast"/>
        </w:trPr>
        <w:tc>
          <w:tcPr>
            <w:tcW w:w="4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924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CellMar>
            <w:top w:w="0" w:type="dxa"/>
            <w:left w:w="0" w:type="dxa"/>
            <w:bottom w:w="0" w:type="dxa"/>
            <w:right w:w="0"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51110023T000009926375-2023年省级知识产权专项资金预算</w:t>
            </w:r>
          </w:p>
        </w:tc>
      </w:tr>
      <w:tr>
        <w:tblPrEx>
          <w:tblCellMar>
            <w:top w:w="0" w:type="dxa"/>
            <w:left w:w="0" w:type="dxa"/>
            <w:bottom w:w="0" w:type="dxa"/>
            <w:right w:w="0"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乐山市市场监督管理局</w:t>
            </w:r>
          </w:p>
        </w:tc>
        <w:tc>
          <w:tcPr>
            <w:tcW w:w="96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乐山市知识产权服务促进中心</w:t>
            </w:r>
          </w:p>
        </w:tc>
      </w:tr>
      <w:tr>
        <w:tblPrEx>
          <w:tblCellMar>
            <w:top w:w="0" w:type="dxa"/>
            <w:left w:w="0" w:type="dxa"/>
            <w:bottom w:w="0" w:type="dxa"/>
            <w:right w:w="0" w:type="dxa"/>
          </w:tblCellMar>
        </w:tblPrEx>
        <w:trPr>
          <w:trHeight w:val="286"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6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tblPrEx>
          <w:tblCellMar>
            <w:top w:w="0" w:type="dxa"/>
            <w:left w:w="0" w:type="dxa"/>
            <w:bottom w:w="0" w:type="dxa"/>
            <w:right w:w="0" w:type="dxa"/>
          </w:tblCellMar>
        </w:tblPrEx>
        <w:trPr>
          <w:trHeight w:val="693"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1"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5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0" w:type="dxa"/>
            <w:bottom w:w="0" w:type="dxa"/>
            <w:right w:w="0" w:type="dxa"/>
          </w:tblCellMar>
        </w:tblPrEx>
        <w:trPr>
          <w:trHeight w:val="5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5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5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5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52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tblPrEx>
          <w:tblCellMar>
            <w:top w:w="0" w:type="dxa"/>
            <w:left w:w="0" w:type="dxa"/>
            <w:bottom w:w="0" w:type="dxa"/>
            <w:right w:w="0" w:type="dxa"/>
          </w:tblCellMar>
        </w:tblPrEx>
        <w:trPr>
          <w:trHeight w:val="572"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tblPrEx>
          <w:tblCellMar>
            <w:top w:w="0" w:type="dxa"/>
            <w:left w:w="0" w:type="dxa"/>
            <w:bottom w:w="0" w:type="dxa"/>
            <w:right w:w="0" w:type="dxa"/>
          </w:tblCellMar>
        </w:tblPrEx>
        <w:trPr>
          <w:trHeight w:val="633"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7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tblPrEx>
          <w:tblCellMar>
            <w:top w:w="0" w:type="dxa"/>
            <w:left w:w="0" w:type="dxa"/>
            <w:bottom w:w="0" w:type="dxa"/>
            <w:right w:w="0" w:type="dxa"/>
          </w:tblCellMar>
        </w:tblPrEx>
        <w:trPr>
          <w:trHeight w:val="286" w:hRule="atLeast"/>
        </w:trPr>
        <w:tc>
          <w:tcPr>
            <w:tcW w:w="47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48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bl>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spacing w:line="600" w:lineRule="exact"/>
        <w:jc w:val="center"/>
        <w:outlineLvl w:val="0"/>
        <w:rPr>
          <w:rFonts w:ascii="仿宋" w:hAnsi="仿宋" w:eastAsia="仿宋"/>
        </w:rPr>
      </w:pPr>
      <w:bookmarkStart w:id="76" w:name="_Toc6880"/>
      <w:r>
        <w:rPr>
          <w:rFonts w:hint="eastAsia" w:ascii="黑体" w:hAnsi="黑体" w:eastAsia="黑体"/>
          <w:sz w:val="44"/>
          <w:szCs w:val="44"/>
        </w:rPr>
        <w:t>第</w:t>
      </w:r>
      <w:r>
        <w:rPr>
          <w:rStyle w:val="27"/>
          <w:rFonts w:hint="eastAsia" w:ascii="黑体" w:hAnsi="黑体" w:eastAsia="黑体"/>
          <w:b w:val="0"/>
        </w:rPr>
        <w:t>五部分 附表</w:t>
      </w:r>
      <w:bookmarkEnd w:id="71"/>
      <w:bookmarkEnd w:id="75"/>
      <w:bookmarkEnd w:id="76"/>
      <w:bookmarkStart w:id="77" w:name="_Toc15396619"/>
    </w:p>
    <w:p>
      <w:pPr>
        <w:pStyle w:val="5"/>
        <w:rPr>
          <w:rFonts w:ascii="仿宋" w:hAnsi="仿宋" w:eastAsia="仿宋"/>
        </w:rPr>
      </w:pPr>
      <w:bookmarkStart w:id="78" w:name="_Toc1843"/>
      <w:r>
        <w:rPr>
          <w:rFonts w:hint="eastAsia" w:ascii="仿宋" w:hAnsi="仿宋" w:eastAsia="仿宋"/>
          <w:b w:val="0"/>
        </w:rPr>
        <w:t>一、收</w:t>
      </w:r>
      <w:r>
        <w:rPr>
          <w:rStyle w:val="28"/>
          <w:rFonts w:hint="eastAsia" w:ascii="仿宋" w:hAnsi="仿宋" w:eastAsia="仿宋"/>
          <w:b w:val="0"/>
          <w:bCs w:val="0"/>
        </w:rPr>
        <w:t>入支出决算总表</w:t>
      </w:r>
      <w:bookmarkEnd w:id="77"/>
      <w:bookmarkEnd w:id="78"/>
    </w:p>
    <w:p>
      <w:pPr>
        <w:pStyle w:val="5"/>
        <w:rPr>
          <w:rFonts w:ascii="仿宋" w:hAnsi="仿宋" w:eastAsia="仿宋"/>
        </w:rPr>
      </w:pPr>
      <w:bookmarkStart w:id="79" w:name="_Toc15396620"/>
      <w:bookmarkStart w:id="80" w:name="_Toc16852"/>
      <w:r>
        <w:rPr>
          <w:rFonts w:hint="eastAsia" w:ascii="仿宋" w:hAnsi="仿宋" w:eastAsia="仿宋"/>
          <w:b w:val="0"/>
        </w:rPr>
        <w:t>二、收</w:t>
      </w:r>
      <w:r>
        <w:rPr>
          <w:rStyle w:val="28"/>
          <w:rFonts w:hint="eastAsia" w:ascii="仿宋" w:hAnsi="仿宋" w:eastAsia="仿宋"/>
          <w:b w:val="0"/>
          <w:bCs w:val="0"/>
        </w:rPr>
        <w:t>入决算表</w:t>
      </w:r>
      <w:bookmarkEnd w:id="79"/>
      <w:bookmarkEnd w:id="80"/>
    </w:p>
    <w:p>
      <w:pPr>
        <w:pStyle w:val="5"/>
        <w:rPr>
          <w:rFonts w:ascii="仿宋" w:hAnsi="仿宋" w:eastAsia="仿宋"/>
        </w:rPr>
      </w:pPr>
      <w:bookmarkStart w:id="81" w:name="_Toc15396621"/>
      <w:bookmarkStart w:id="82" w:name="_Toc32209"/>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81"/>
      <w:bookmarkEnd w:id="82"/>
    </w:p>
    <w:p>
      <w:pPr>
        <w:pStyle w:val="5"/>
        <w:rPr>
          <w:rFonts w:ascii="仿宋" w:hAnsi="仿宋" w:eastAsia="仿宋"/>
          <w:b w:val="0"/>
        </w:rPr>
      </w:pPr>
      <w:bookmarkStart w:id="83" w:name="_Toc15396622"/>
      <w:bookmarkStart w:id="84" w:name="_Toc1579"/>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83"/>
      <w:bookmarkEnd w:id="84"/>
    </w:p>
    <w:p>
      <w:pPr>
        <w:pStyle w:val="5"/>
        <w:rPr>
          <w:rStyle w:val="28"/>
          <w:rFonts w:ascii="仿宋" w:hAnsi="仿宋" w:eastAsia="仿宋"/>
          <w:b w:val="0"/>
          <w:bCs w:val="0"/>
        </w:rPr>
      </w:pPr>
      <w:bookmarkStart w:id="85" w:name="_Toc15396623"/>
      <w:bookmarkStart w:id="86" w:name="_Toc30807"/>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85"/>
      <w:bookmarkEnd w:id="86"/>
      <w:bookmarkStart w:id="87" w:name="_Toc15396624"/>
    </w:p>
    <w:p>
      <w:pPr>
        <w:pStyle w:val="5"/>
        <w:rPr>
          <w:rFonts w:ascii="仿宋" w:hAnsi="仿宋" w:eastAsia="仿宋"/>
        </w:rPr>
      </w:pPr>
      <w:bookmarkStart w:id="88" w:name="_Toc32665"/>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87"/>
      <w:bookmarkEnd w:id="88"/>
    </w:p>
    <w:p>
      <w:pPr>
        <w:pStyle w:val="5"/>
        <w:rPr>
          <w:rFonts w:ascii="仿宋" w:hAnsi="仿宋" w:eastAsia="仿宋"/>
        </w:rPr>
      </w:pPr>
      <w:bookmarkStart w:id="89" w:name="_Toc15396625"/>
      <w:bookmarkStart w:id="90" w:name="_Toc4660"/>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89"/>
      <w:bookmarkEnd w:id="90"/>
    </w:p>
    <w:p>
      <w:pPr>
        <w:pStyle w:val="5"/>
        <w:rPr>
          <w:rFonts w:ascii="仿宋" w:hAnsi="仿宋" w:eastAsia="仿宋"/>
        </w:rPr>
      </w:pPr>
      <w:bookmarkStart w:id="91" w:name="_Toc15396626"/>
      <w:bookmarkStart w:id="92" w:name="_Toc23597"/>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91"/>
      <w:bookmarkEnd w:id="92"/>
    </w:p>
    <w:p>
      <w:pPr>
        <w:pStyle w:val="5"/>
        <w:rPr>
          <w:rFonts w:ascii="仿宋" w:hAnsi="仿宋" w:eastAsia="仿宋"/>
        </w:rPr>
      </w:pPr>
      <w:bookmarkStart w:id="93" w:name="_Toc15396627"/>
      <w:bookmarkStart w:id="94" w:name="_Toc18452"/>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93"/>
      <w:bookmarkEnd w:id="94"/>
    </w:p>
    <w:p>
      <w:pPr>
        <w:pStyle w:val="5"/>
        <w:rPr>
          <w:rFonts w:ascii="仿宋" w:hAnsi="仿宋" w:eastAsia="仿宋"/>
        </w:rPr>
      </w:pPr>
      <w:bookmarkStart w:id="95" w:name="_Toc15396628"/>
      <w:bookmarkStart w:id="96" w:name="_Toc31067"/>
      <w:r>
        <w:rPr>
          <w:rStyle w:val="28"/>
          <w:rFonts w:hint="eastAsia" w:ascii="仿宋" w:hAnsi="仿宋" w:eastAsia="仿宋"/>
          <w:b w:val="0"/>
          <w:bCs w:val="0"/>
        </w:rPr>
        <w:t>十、</w:t>
      </w:r>
      <w:bookmarkEnd w:id="95"/>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96"/>
    </w:p>
    <w:p>
      <w:pPr>
        <w:pStyle w:val="5"/>
        <w:rPr>
          <w:rFonts w:ascii="仿宋" w:hAnsi="仿宋" w:eastAsia="仿宋"/>
        </w:rPr>
      </w:pPr>
      <w:bookmarkStart w:id="97" w:name="_Toc15396629"/>
      <w:bookmarkStart w:id="98" w:name="_Toc20293"/>
      <w:r>
        <w:rPr>
          <w:rStyle w:val="28"/>
          <w:rFonts w:hint="eastAsia" w:ascii="仿宋" w:hAnsi="仿宋" w:eastAsia="仿宋"/>
          <w:b w:val="0"/>
          <w:bCs w:val="0"/>
        </w:rPr>
        <w:t>十一、</w:t>
      </w:r>
      <w:bookmarkEnd w:id="97"/>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98"/>
    </w:p>
    <w:p>
      <w:pPr>
        <w:pStyle w:val="5"/>
        <w:rPr>
          <w:rFonts w:ascii="仿宋" w:hAnsi="仿宋" w:eastAsia="仿宋"/>
        </w:rPr>
      </w:pPr>
      <w:bookmarkStart w:id="99" w:name="_Toc15396630"/>
      <w:bookmarkStart w:id="100" w:name="_Toc30261"/>
      <w:r>
        <w:rPr>
          <w:rStyle w:val="28"/>
          <w:rFonts w:hint="eastAsia" w:ascii="仿宋" w:hAnsi="仿宋" w:eastAsia="仿宋"/>
          <w:b w:val="0"/>
          <w:bCs w:val="0"/>
        </w:rPr>
        <w:t>十二、</w:t>
      </w:r>
      <w:bookmarkEnd w:id="99"/>
      <w:r>
        <w:rPr>
          <w:rStyle w:val="28"/>
          <w:rFonts w:hint="eastAsia" w:ascii="仿宋" w:hAnsi="仿宋" w:eastAsia="仿宋"/>
          <w:b w:val="0"/>
          <w:bCs w:val="0"/>
        </w:rPr>
        <w:t>国有资本经营预算财政拨款支出决算表</w:t>
      </w:r>
      <w:bookmarkEnd w:id="100"/>
    </w:p>
    <w:p>
      <w:pPr>
        <w:pStyle w:val="5"/>
        <w:rPr>
          <w:rFonts w:eastAsia="仿宋"/>
        </w:rPr>
      </w:pPr>
      <w:bookmarkStart w:id="101" w:name="_Toc15396631"/>
      <w:bookmarkStart w:id="102" w:name="_Toc5515"/>
      <w:r>
        <w:rPr>
          <w:rStyle w:val="28"/>
          <w:rFonts w:hint="eastAsia" w:ascii="仿宋" w:hAnsi="仿宋" w:eastAsia="仿宋"/>
          <w:b w:val="0"/>
          <w:bCs w:val="0"/>
        </w:rPr>
        <w:t>十三、</w:t>
      </w:r>
      <w:bookmarkEnd w:id="101"/>
      <w:r>
        <w:rPr>
          <w:rStyle w:val="28"/>
          <w:rFonts w:hint="eastAsia" w:ascii="仿宋" w:hAnsi="仿宋" w:eastAsia="仿宋"/>
          <w:b w:val="0"/>
          <w:bCs w:val="0"/>
        </w:rPr>
        <w:t>财政拨款“三公”经费支出决算表</w:t>
      </w:r>
      <w:bookmarkEnd w:id="102"/>
    </w:p>
    <w:sectPr>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2"/>
                    </w:pP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2"/>
                    </w:pPr>
                  </w:p>
                </w:txbxContent>
              </v:textbox>
            </v:shape>
          </w:pict>
        </mc:Fallback>
      </mc:AlternateConten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8137B44"/>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8A4093"/>
    <w:rsid w:val="49FF41D3"/>
    <w:rsid w:val="4BE068DB"/>
    <w:rsid w:val="4BF6002B"/>
    <w:rsid w:val="4BFFC6BE"/>
    <w:rsid w:val="4ECE2238"/>
    <w:rsid w:val="4F1509C5"/>
    <w:rsid w:val="51DB4B86"/>
    <w:rsid w:val="51F64DB0"/>
    <w:rsid w:val="55333C3E"/>
    <w:rsid w:val="58A41026"/>
    <w:rsid w:val="5F67802D"/>
    <w:rsid w:val="5F7DC4F2"/>
    <w:rsid w:val="5FB36814"/>
    <w:rsid w:val="5FBB8E56"/>
    <w:rsid w:val="5FFB5535"/>
    <w:rsid w:val="60B13F7C"/>
    <w:rsid w:val="643664FC"/>
    <w:rsid w:val="64CA39A1"/>
    <w:rsid w:val="65F53059"/>
    <w:rsid w:val="69630ADE"/>
    <w:rsid w:val="69BD5F13"/>
    <w:rsid w:val="69FB0B4B"/>
    <w:rsid w:val="6A9B06AB"/>
    <w:rsid w:val="6BFFE1FB"/>
    <w:rsid w:val="6C4A05C8"/>
    <w:rsid w:val="6D3B1A89"/>
    <w:rsid w:val="6DB7D8A3"/>
    <w:rsid w:val="6EC78701"/>
    <w:rsid w:val="6F7A5481"/>
    <w:rsid w:val="6FFE07A9"/>
    <w:rsid w:val="70481D13"/>
    <w:rsid w:val="71BF4EC2"/>
    <w:rsid w:val="72734D90"/>
    <w:rsid w:val="73E75B71"/>
    <w:rsid w:val="7412278C"/>
    <w:rsid w:val="749E3D6B"/>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200" w:leftChars="200"/>
    </w:pPr>
    <w:rPr>
      <w:rFonts w:ascii="仿宋_GB2312"/>
      <w:szCs w:val="32"/>
    </w:rPr>
  </w:style>
  <w:style w:type="paragraph" w:styleId="7">
    <w:name w:val="Body Text"/>
    <w:basedOn w:val="1"/>
    <w:link w:val="24"/>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7"/>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4"/>
    <w:qFormat/>
    <w:uiPriority w:val="9"/>
    <w:rPr>
      <w:rFonts w:ascii="Times New Roman" w:hAnsi="Times New Roman"/>
      <w:b/>
      <w:bCs/>
      <w:kern w:val="44"/>
      <w:sz w:val="44"/>
      <w:szCs w:val="44"/>
    </w:rPr>
  </w:style>
  <w:style w:type="character" w:customStyle="1" w:styleId="28">
    <w:name w:val="标题 2 字符"/>
    <w:basedOn w:val="15"/>
    <w:link w:val="5"/>
    <w:qFormat/>
    <w:uiPriority w:val="9"/>
    <w:rPr>
      <w:rFonts w:asciiTheme="majorHAnsi" w:hAnsiTheme="majorHAnsi" w:eastAsiaTheme="majorEastAsia" w:cstheme="majorBidi"/>
      <w:b/>
      <w:bCs/>
      <w:kern w:val="2"/>
      <w:sz w:val="32"/>
      <w:szCs w:val="32"/>
    </w:rPr>
  </w:style>
  <w:style w:type="paragraph" w:customStyle="1" w:styleId="29">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9"/>
    <w:semiHidden/>
    <w:qFormat/>
    <w:uiPriority w:val="99"/>
    <w:rPr>
      <w:rFonts w:ascii="Times New Roman" w:hAnsi="Times New Roman"/>
      <w:kern w:val="2"/>
      <w:sz w:val="18"/>
      <w:szCs w:val="18"/>
    </w:rPr>
  </w:style>
  <w:style w:type="character" w:customStyle="1" w:styleId="31">
    <w:name w:val="标题 3 字符"/>
    <w:basedOn w:val="15"/>
    <w:link w:val="6"/>
    <w:qFormat/>
    <w:uiPriority w:val="9"/>
    <w:rPr>
      <w:rFonts w:ascii="Times New Roman" w:hAnsi="Times New Roman"/>
      <w:b/>
      <w:bCs/>
      <w:kern w:val="2"/>
      <w:sz w:val="32"/>
      <w:szCs w:val="32"/>
    </w:rPr>
  </w:style>
  <w:style w:type="paragraph" w:customStyle="1" w:styleId="32">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23&#24180;&#20915;&#31639;&#20844;&#24320;\&#27169;&#26495;&#21103;&#2641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23&#24180;&#20915;&#31639;&#20844;&#24320;\&#27169;&#26495;&#21103;&#2641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23&#24180;&#20915;&#31639;&#20844;&#24320;\&#27169;&#26495;&#21103;&#26412;.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023&#24180;&#20915;&#31639;&#20844;&#24320;\&#27169;&#26495;&#21103;&#26412;.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023&#24180;&#20915;&#31639;&#20844;&#24320;\&#27169;&#26495;&#21103;&#26412;.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2023&#24180;&#20915;&#31639;&#20844;&#24320;\&#27169;&#26495;&#21103;&#26412;.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023&#24180;&#20915;&#31639;&#20844;&#24320;\&#27169;&#26495;&#21103;&#264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rPr altLang="en-US"/>
              <a:t>：收、支决算总计变动情况图</a:t>
            </a:r>
            <a:endParaRPr altLang="en-US"/>
          </a:p>
        </c:rich>
      </c:tx>
      <c:layout/>
      <c:overlay val="0"/>
      <c:spPr>
        <a:noFill/>
        <a:ln>
          <a:noFill/>
        </a:ln>
        <a:effectLst/>
      </c:spPr>
    </c:title>
    <c:autoTitleDeleted val="0"/>
    <c:plotArea>
      <c:layout/>
      <c:barChart>
        <c:barDir val="col"/>
        <c:grouping val="clustered"/>
        <c:varyColors val="0"/>
        <c:ser>
          <c:idx val="0"/>
          <c:order val="0"/>
          <c:tx>
            <c:strRef>
              <c:f>[模板副本.xlsx]收入决算结构图2!$B$50</c:f>
              <c:strCache>
                <c:ptCount val="1"/>
                <c:pt idx="0">
                  <c:v>金额（万元）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[模板副本.xlsx]收入决算结构图2!$A$51:$A$52</c:f>
              <c:strCache>
                <c:ptCount val="2"/>
                <c:pt idx="0">
                  <c:v>2022年</c:v>
                </c:pt>
                <c:pt idx="1">
                  <c:v>2023年</c:v>
                </c:pt>
              </c:strCache>
            </c:strRef>
          </c:cat>
          <c:val>
            <c:numRef>
              <c:f>[模板副本.xlsx]收入决算结构图2!$B$51:$B$52</c:f>
              <c:numCache>
                <c:formatCode>General</c:formatCode>
                <c:ptCount val="2"/>
                <c:pt idx="0">
                  <c:v>352.8</c:v>
                </c:pt>
                <c:pt idx="1">
                  <c:v>231.05</c:v>
                </c:pt>
              </c:numCache>
            </c:numRef>
          </c:val>
        </c:ser>
        <c:dLbls>
          <c:showLegendKey val="0"/>
          <c:showVal val="1"/>
          <c:showCatName val="0"/>
          <c:showSerName val="0"/>
          <c:showPercent val="0"/>
          <c:showBubbleSize val="0"/>
        </c:dLbls>
        <c:gapWidth val="219"/>
        <c:overlap val="-27"/>
        <c:axId val="873828907"/>
        <c:axId val="187963406"/>
      </c:barChart>
      <c:catAx>
        <c:axId val="8738289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7963406"/>
        <c:crosses val="autoZero"/>
        <c:auto val="1"/>
        <c:lblAlgn val="ctr"/>
        <c:lblOffset val="100"/>
        <c:noMultiLvlLbl val="0"/>
      </c:catAx>
      <c:valAx>
        <c:axId val="18796340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38289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2</a:t>
            </a:r>
            <a:r>
              <a:t>：收入决算结构图</a:t>
            </a:r>
          </a:p>
        </c:rich>
      </c:tx>
      <c:layout/>
      <c:overlay val="0"/>
      <c:spPr>
        <a:noFill/>
        <a:ln>
          <a:noFill/>
        </a:ln>
        <a:effectLst/>
      </c:spPr>
    </c:title>
    <c:autoTitleDeleted val="0"/>
    <c:plotArea>
      <c:layout/>
      <c:pieChart>
        <c:varyColors val="1"/>
        <c:ser>
          <c:idx val="1"/>
          <c:order val="1"/>
          <c:tx>
            <c:strRef>
              <c:f>[模板副本.xlsx]收入决算结构图2!$C$35</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[模板副本.xlsx]收入决算结构图2!$A$36:$A$37</c:f>
              <c:strCache>
                <c:ptCount val="2"/>
                <c:pt idx="0">
                  <c:v>一般公共预算财政拨款收入231.05万元</c:v>
                </c:pt>
                <c:pt idx="1">
                  <c:v>其他收入0万元</c:v>
                </c:pt>
              </c:strCache>
            </c:strRef>
          </c:cat>
          <c:val>
            <c:numRef>
              <c:f>[模板副本.xlsx]收入决算结构图2!$C$36:$C$37</c:f>
              <c:numCache>
                <c:formatCode>0.00%</c:formatCode>
                <c:ptCount val="2"/>
                <c:pt idx="0">
                  <c:v>1</c:v>
                </c:pt>
                <c:pt idx="1">
                  <c:v>0</c:v>
                </c:pt>
              </c:numCache>
            </c:numRef>
          </c:val>
        </c:ser>
        <c:dLbls>
          <c:showLegendKey val="0"/>
          <c:showVal val="1"/>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[模板副本.xlsx]收入决算结构图2!$B$35</c15:sqref>
                        </c15:formulaRef>
                      </c:ext>
                    </c:extLst>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[模板副本.xlsx]收入决算结构图2!$A$36:$A$37</c15:sqref>
                        </c15:formulaRef>
                      </c:ext>
                    </c:extLst>
                    <c:strCache>
                      <c:ptCount val="2"/>
                      <c:pt idx="0">
                        <c:v>一般公共预算财政拨款收入231.05万元</c:v>
                      </c:pt>
                      <c:pt idx="1">
                        <c:v>其他收入0万元</c:v>
                      </c:pt>
                    </c:strCache>
                  </c:strRef>
                </c:cat>
                <c:val>
                  <c:numRef>
                    <c:extLst>
                      <c:ext uri="{02D57815-91ED-43cb-92C2-25804820EDAC}">
                        <c15:formulaRef>
                          <c15:sqref>{231.05,0}</c15:sqref>
                        </c15:formulaRef>
                      </c:ext>
                    </c:extLst>
                    <c:numCache>
                      <c:formatCode>General</c:formatCode>
                      <c:ptCount val="2"/>
                      <c:pt idx="0">
                        <c:v>231.05</c:v>
                      </c:pt>
                      <c:pt idx="1">
                        <c:v>0</c:v>
                      </c:pt>
                    </c:numCache>
                  </c:numRef>
                </c:val>
              </c15:ser>
            </c15:filteredPieSeries>
          </c:ext>
        </c:extLst>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图二：收入决算结构图</a:t>
            </a:r>
          </a:p>
        </c:rich>
      </c:tx>
      <c:layout/>
      <c:overlay val="0"/>
      <c:spPr>
        <a:noFill/>
        <a:ln>
          <a:noFill/>
        </a:ln>
        <a:effectLst/>
      </c:spPr>
    </c:title>
    <c:autoTitleDeleted val="0"/>
    <c:plotArea>
      <c:layout/>
      <c:pieChart>
        <c:varyColors val="1"/>
        <c:ser>
          <c:idx val="1"/>
          <c:order val="1"/>
          <c:tx>
            <c:strRef>
              <c:f>[模板副本.xlsx]收入决算结构图2!$C$35</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[模板副本.xlsx]收入决算结构图2!$A$36:$A$37</c:f>
              <c:strCache>
                <c:ptCount val="2"/>
                <c:pt idx="0">
                  <c:v>基本支出201.05万元</c:v>
                </c:pt>
                <c:pt idx="1">
                  <c:v>项目支出30万元</c:v>
                </c:pt>
              </c:strCache>
            </c:strRef>
          </c:cat>
          <c:val>
            <c:numRef>
              <c:f>[模板副本.xlsx]收入决算结构图2!$C$36:$C$37</c:f>
              <c:numCache>
                <c:formatCode>0.00%</c:formatCode>
                <c:ptCount val="2"/>
                <c:pt idx="0">
                  <c:v>0.870157974464402</c:v>
                </c:pt>
                <c:pt idx="1">
                  <c:v>0.129842025535598</c:v>
                </c:pt>
              </c:numCache>
            </c:numRef>
          </c:val>
        </c:ser>
        <c:dLbls>
          <c:showLegendKey val="0"/>
          <c:showVal val="1"/>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[模板副本.xlsx]收入决算结构图2!$B$35</c15:sqref>
                        </c15:formulaRef>
                      </c:ext>
                    </c:extLst>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[模板副本.xlsx]收入决算结构图2!$A$36:$A$37</c15:sqref>
                        </c15:formulaRef>
                      </c:ext>
                    </c:extLst>
                    <c:strCache>
                      <c:ptCount val="2"/>
                      <c:pt idx="0">
                        <c:v>基本支出201.05万元</c:v>
                      </c:pt>
                      <c:pt idx="1">
                        <c:v>项目支出30万元</c:v>
                      </c:pt>
                    </c:strCache>
                  </c:strRef>
                </c:cat>
                <c:val>
                  <c:numRef>
                    <c:extLst>
                      <c:ext uri="{02D57815-91ED-43cb-92C2-25804820EDAC}">
                        <c15:formulaRef>
                          <c15:sqref>{201.05,30}</c15:sqref>
                        </c15:formulaRef>
                      </c:ext>
                    </c:extLst>
                    <c:numCache>
                      <c:formatCode>General</c:formatCode>
                      <c:ptCount val="2"/>
                      <c:pt idx="0">
                        <c:v>201.05</c:v>
                      </c:pt>
                      <c:pt idx="1">
                        <c:v>30</c:v>
                      </c:pt>
                    </c:numCache>
                  </c:numRef>
                </c:val>
              </c15:ser>
            </c15:filteredPieSeries>
          </c:ext>
        </c:extLst>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4</a:t>
            </a:r>
            <a:r>
              <a:rPr altLang="en-US"/>
              <a:t>：财政拨款收、支决算总计变动情况</a:t>
            </a:r>
            <a:endParaRPr altLang="en-US"/>
          </a:p>
        </c:rich>
      </c:tx>
      <c:layout/>
      <c:overlay val="0"/>
      <c:spPr>
        <a:noFill/>
        <a:ln>
          <a:noFill/>
        </a:ln>
        <a:effectLst/>
      </c:spPr>
    </c:title>
    <c:autoTitleDeleted val="0"/>
    <c:plotArea>
      <c:layout/>
      <c:barChart>
        <c:barDir val="col"/>
        <c:grouping val="clustered"/>
        <c:varyColors val="0"/>
        <c:ser>
          <c:idx val="0"/>
          <c:order val="0"/>
          <c:tx>
            <c:strRef>
              <c:f>[模板副本.xlsx]收入决算结构图2!$B$50</c:f>
              <c:strCache>
                <c:ptCount val="1"/>
                <c:pt idx="0">
                  <c:v>金额（万元）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[模板副本.xlsx]收入决算结构图2!$A$51:$A$52</c:f>
              <c:strCache>
                <c:ptCount val="2"/>
                <c:pt idx="0">
                  <c:v>2022年</c:v>
                </c:pt>
                <c:pt idx="1">
                  <c:v>2023年</c:v>
                </c:pt>
              </c:strCache>
            </c:strRef>
          </c:cat>
          <c:val>
            <c:numRef>
              <c:f>[模板副本.xlsx]收入决算结构图2!$B$51:$B$52</c:f>
              <c:numCache>
                <c:formatCode>General</c:formatCode>
                <c:ptCount val="2"/>
                <c:pt idx="0">
                  <c:v>352.8</c:v>
                </c:pt>
                <c:pt idx="1">
                  <c:v>231.05</c:v>
                </c:pt>
              </c:numCache>
            </c:numRef>
          </c:val>
        </c:ser>
        <c:dLbls>
          <c:showLegendKey val="0"/>
          <c:showVal val="1"/>
          <c:showCatName val="0"/>
          <c:showSerName val="0"/>
          <c:showPercent val="0"/>
          <c:showBubbleSize val="0"/>
        </c:dLbls>
        <c:gapWidth val="219"/>
        <c:overlap val="-27"/>
        <c:axId val="873828907"/>
        <c:axId val="187963406"/>
      </c:barChart>
      <c:catAx>
        <c:axId val="8738289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7963406"/>
        <c:crosses val="autoZero"/>
        <c:auto val="1"/>
        <c:lblAlgn val="ctr"/>
        <c:lblOffset val="100"/>
        <c:noMultiLvlLbl val="0"/>
      </c:catAx>
      <c:valAx>
        <c:axId val="18796340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38289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5</a:t>
            </a:r>
            <a:r>
              <a:rPr altLang="en-US"/>
              <a:t>：一般公共预算财政拨款支出决算变动情况</a:t>
            </a:r>
            <a:endParaRPr altLang="en-US"/>
          </a:p>
        </c:rich>
      </c:tx>
      <c:layout/>
      <c:overlay val="0"/>
      <c:spPr>
        <a:noFill/>
        <a:ln>
          <a:noFill/>
        </a:ln>
        <a:effectLst/>
      </c:spPr>
    </c:title>
    <c:autoTitleDeleted val="0"/>
    <c:plotArea>
      <c:layout/>
      <c:barChart>
        <c:barDir val="col"/>
        <c:grouping val="clustered"/>
        <c:varyColors val="0"/>
        <c:ser>
          <c:idx val="0"/>
          <c:order val="0"/>
          <c:tx>
            <c:strRef>
              <c:f>[模板副本.xlsx]收入决算结构图2!$B$50</c:f>
              <c:strCache>
                <c:ptCount val="1"/>
                <c:pt idx="0">
                  <c:v>金额（万元）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[模板副本.xlsx]收入决算结构图2!$A$51:$A$52</c:f>
              <c:strCache>
                <c:ptCount val="2"/>
                <c:pt idx="0">
                  <c:v>2022年</c:v>
                </c:pt>
                <c:pt idx="1">
                  <c:v>2023年</c:v>
                </c:pt>
              </c:strCache>
            </c:strRef>
          </c:cat>
          <c:val>
            <c:numRef>
              <c:f>[模板副本.xlsx]收入决算结构图2!$B$51:$B$52</c:f>
              <c:numCache>
                <c:formatCode>General</c:formatCode>
                <c:ptCount val="2"/>
                <c:pt idx="0">
                  <c:v>352.8</c:v>
                </c:pt>
                <c:pt idx="1">
                  <c:v>231.05</c:v>
                </c:pt>
              </c:numCache>
            </c:numRef>
          </c:val>
        </c:ser>
        <c:dLbls>
          <c:showLegendKey val="0"/>
          <c:showVal val="1"/>
          <c:showCatName val="0"/>
          <c:showSerName val="0"/>
          <c:showPercent val="0"/>
          <c:showBubbleSize val="0"/>
        </c:dLbls>
        <c:gapWidth val="219"/>
        <c:overlap val="-27"/>
        <c:axId val="873828907"/>
        <c:axId val="187963406"/>
      </c:barChart>
      <c:catAx>
        <c:axId val="8738289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7963406"/>
        <c:crosses val="autoZero"/>
        <c:auto val="1"/>
        <c:lblAlgn val="ctr"/>
        <c:lblOffset val="100"/>
        <c:noMultiLvlLbl val="0"/>
      </c:catAx>
      <c:valAx>
        <c:axId val="18796340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38289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6</a:t>
            </a:r>
            <a:r>
              <a:t>：一般公共预算财政拨款支出决算结构</a:t>
            </a:r>
          </a:p>
        </c:rich>
      </c:tx>
      <c:layout/>
      <c:overlay val="0"/>
      <c:spPr>
        <a:noFill/>
        <a:ln>
          <a:noFill/>
        </a:ln>
        <a:effectLst/>
      </c:spPr>
    </c:title>
    <c:autoTitleDeleted val="0"/>
    <c:plotArea>
      <c:layout/>
      <c:pieChart>
        <c:varyColors val="1"/>
        <c:ser>
          <c:idx val="1"/>
          <c:order val="1"/>
          <c:tx>
            <c:strRef>
              <c:f>[模板副本.xlsx]收入决算结构图2!$C$35</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[模板副本.xlsx]收入决算结构图2!$A$36:$A$39</c:f>
              <c:strCache>
                <c:ptCount val="4"/>
                <c:pt idx="0">
                  <c:v>一般公共服务支出182.58万元</c:v>
                </c:pt>
                <c:pt idx="1">
                  <c:v>社会保障和就业支出29.44万元</c:v>
                </c:pt>
                <c:pt idx="2">
                  <c:v>卫生健康支出5.14万元</c:v>
                </c:pt>
                <c:pt idx="3">
                  <c:v>住房保障支出13.89万元</c:v>
                </c:pt>
              </c:strCache>
            </c:strRef>
          </c:cat>
          <c:val>
            <c:numRef>
              <c:f>[模板副本.xlsx]收入决算结构图2!$C$36:$C$39</c:f>
              <c:numCache>
                <c:formatCode>0.0%</c:formatCode>
                <c:ptCount val="4"/>
                <c:pt idx="0">
                  <c:v>0.790218567409652</c:v>
                </c:pt>
                <c:pt idx="1">
                  <c:v>0.128</c:v>
                </c:pt>
                <c:pt idx="2">
                  <c:v>0.0222462670417658</c:v>
                </c:pt>
                <c:pt idx="3">
                  <c:v>0.060116857822982</c:v>
                </c:pt>
              </c:numCache>
            </c:numRef>
          </c:val>
        </c:ser>
        <c:dLbls>
          <c:showLegendKey val="0"/>
          <c:showVal val="1"/>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[模板副本.xlsx]收入决算结构图2!$B$35</c15:sqref>
                        </c15:formulaRef>
                      </c:ext>
                    </c:extLst>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[模板副本.xlsx]收入决算结构图2!$A$36:$A$39</c15:sqref>
                        </c15:formulaRef>
                      </c:ext>
                    </c:extLst>
                    <c:strCache>
                      <c:ptCount val="4"/>
                      <c:pt idx="0">
                        <c:v>一般公共服务支出182.58万元</c:v>
                      </c:pt>
                      <c:pt idx="1">
                        <c:v>社会保障和就业支出29.44万元</c:v>
                      </c:pt>
                      <c:pt idx="2">
                        <c:v>卫生健康支出5.14万元</c:v>
                      </c:pt>
                      <c:pt idx="3">
                        <c:v>住房保障支出13.89万元</c:v>
                      </c:pt>
                    </c:strCache>
                  </c:strRef>
                </c:cat>
                <c:val>
                  <c:numRef>
                    <c:extLst>
                      <c:ext uri="{02D57815-91ED-43cb-92C2-25804820EDAC}">
                        <c15:formulaRef>
                          <c15:sqref>{182.58,29.44,5.14,13.89}</c15:sqref>
                        </c15:formulaRef>
                      </c:ext>
                    </c:extLst>
                    <c:numCache>
                      <c:formatCode>General</c:formatCode>
                      <c:ptCount val="4"/>
                      <c:pt idx="0">
                        <c:v>182.58</c:v>
                      </c:pt>
                      <c:pt idx="1">
                        <c:v>29.44</c:v>
                      </c:pt>
                      <c:pt idx="2">
                        <c:v>5.14</c:v>
                      </c:pt>
                      <c:pt idx="3">
                        <c:v>13.89</c:v>
                      </c:pt>
                    </c:numCache>
                  </c:numRef>
                </c:val>
              </c15:ser>
            </c15:filteredPieSeries>
          </c:ext>
        </c:extLst>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7</a:t>
            </a:r>
            <a:r>
              <a:t>：</a:t>
            </a:r>
            <a:r>
              <a:rPr lang="en-US" altLang="zh-CN"/>
              <a:t>“</a:t>
            </a:r>
            <a:r>
              <a:rPr altLang="en-US"/>
              <a:t>三公</a:t>
            </a:r>
            <a:r>
              <a:rPr lang="en-US" altLang="zh-CN"/>
              <a:t>”</a:t>
            </a:r>
            <a:r>
              <a:rPr altLang="en-US"/>
              <a:t>经费财政拨款支出结构</a:t>
            </a:r>
            <a:endParaRPr altLang="en-US"/>
          </a:p>
        </c:rich>
      </c:tx>
      <c:layout/>
      <c:overlay val="0"/>
      <c:spPr>
        <a:noFill/>
        <a:ln>
          <a:noFill/>
        </a:ln>
        <a:effectLst/>
      </c:spPr>
    </c:title>
    <c:autoTitleDeleted val="0"/>
    <c:plotArea>
      <c:layout/>
      <c:pieChart>
        <c:varyColors val="1"/>
        <c:ser>
          <c:idx val="1"/>
          <c:order val="1"/>
          <c:tx>
            <c:strRef>
              <c:f>[模板副本.xlsx]收入决算结构图2!$C$35</c:f>
              <c:strCache>
                <c:ptCount val="1"/>
                <c:pt idx="0">
                  <c:v>占比</c:v>
                </c:pt>
              </c:strCache>
            </c:strRef>
          </c:tx>
          <c:spPr>
            <a:solidFill>
              <a:schemeClr val="accent1"/>
            </a:solidFill>
          </c:spPr>
          <c:explosion val="0"/>
          <c:dPt>
            <c:idx val="0"/>
            <c:bubble3D val="0"/>
            <c:spPr>
              <a:solidFill>
                <a:schemeClr val="accent1"/>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[模板副本.xlsx]收入决算结构图2!$A$36:$A$38</c:f>
              <c:strCache>
                <c:ptCount val="3"/>
                <c:pt idx="0">
                  <c:v>因公出国（境）费支出0万元</c:v>
                </c:pt>
                <c:pt idx="1">
                  <c:v>公务用车购置及运行维护费支出0万元</c:v>
                </c:pt>
                <c:pt idx="2">
                  <c:v>公务接待费支出0.45万元</c:v>
                </c:pt>
              </c:strCache>
            </c:strRef>
          </c:cat>
          <c:val>
            <c:numRef>
              <c:f>[模板副本.xlsx]收入决算结构图2!$C$36:$C$38</c:f>
              <c:numCache>
                <c:formatCode>0.0%</c:formatCode>
                <c:ptCount val="3"/>
                <c:pt idx="0">
                  <c:v>0</c:v>
                </c:pt>
                <c:pt idx="1">
                  <c:v>0</c:v>
                </c:pt>
                <c:pt idx="2">
                  <c:v>1</c:v>
                </c:pt>
              </c:numCache>
            </c:numRef>
          </c:val>
        </c:ser>
        <c:dLbls>
          <c:showLegendKey val="0"/>
          <c:showVal val="1"/>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[模板副本.xlsx]收入决算结构图2!$B$35</c15:sqref>
                        </c15:formulaRef>
                      </c:ext>
                    </c:extLst>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[模板副本.xlsx]收入决算结构图2!$A$36:$A$38</c15:sqref>
                        </c15:formulaRef>
                      </c:ext>
                    </c:extLst>
                    <c:strCache>
                      <c:ptCount val="3"/>
                      <c:pt idx="0">
                        <c:v>因公出国（境）费支出0万元</c:v>
                      </c:pt>
                      <c:pt idx="1">
                        <c:v>公务用车购置及运行维护费支出0万元</c:v>
                      </c:pt>
                      <c:pt idx="2">
                        <c:v>公务接待费支出0.45万元</c:v>
                      </c:pt>
                    </c:strCache>
                  </c:strRef>
                </c:cat>
                <c:val>
                  <c:numRef>
                    <c:extLst>
                      <c:ext uri="{02D57815-91ED-43cb-92C2-25804820EDAC}">
                        <c15:formulaRef>
                          <c15:sqref>{0,0,0.45}</c15:sqref>
                        </c15:formulaRef>
                      </c:ext>
                    </c:extLst>
                    <c:numCache>
                      <c:formatCode>General</c:formatCode>
                      <c:ptCount val="3"/>
                      <c:pt idx="0">
                        <c:v>0</c:v>
                      </c:pt>
                      <c:pt idx="1">
                        <c:v>0</c:v>
                      </c:pt>
                      <c:pt idx="2">
                        <c:v>0.45</c:v>
                      </c:pt>
                    </c:numCache>
                  </c:numRef>
                </c:val>
              </c15:ser>
            </c15:filteredPieSeries>
          </c:ext>
        </c:extLst>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TotalTime>2</TotalTime>
  <ScaleCrop>false</ScaleCrop>
  <LinksUpToDate>false</LinksUpToDate>
  <CharactersWithSpaces>7641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cp:lastModifiedBy>
  <cp:lastPrinted>2023-08-03T02:35:00Z</cp:lastPrinted>
  <dcterms:modified xsi:type="dcterms:W3CDTF">2024-10-08T07:12:53Z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