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6541"/>
      <w:bookmarkStart w:id="4" w:name="_Toc15396597"/>
      <w:bookmarkStart w:id="5" w:name="_Toc15396475"/>
      <w:bookmarkStart w:id="6"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31076"/>
      <w:bookmarkStart w:id="8" w:name="_Toc15377194"/>
      <w:bookmarkStart w:id="9" w:name="_Toc15396598"/>
      <w:bookmarkStart w:id="10" w:name="_Toc15396476"/>
      <w:bookmarkStart w:id="11" w:name="_Toc15377426"/>
      <w:bookmarkStart w:id="12" w:name="_Toc15378442"/>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乐山市知识产权</w:t>
      </w:r>
    </w:p>
    <w:p>
      <w:pPr>
        <w:adjustRightInd w:val="0"/>
        <w:snapToGrid w:val="0"/>
        <w:spacing w:line="360" w:lineRule="auto"/>
        <w:jc w:val="center"/>
        <w:outlineLvl w:val="0"/>
        <w:rPr>
          <w:rFonts w:hint="eastAsia" w:ascii="黑体" w:hAnsi="黑体" w:eastAsia="方正小标宋简体"/>
          <w:sz w:val="48"/>
          <w:szCs w:val="48"/>
          <w:lang w:eastAsia="zh-C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简体" w:hAnsi="方正小标宋简体" w:eastAsia="方正小标宋简体" w:cs="方正小标宋简体"/>
          <w:sz w:val="72"/>
          <w:szCs w:val="72"/>
          <w:lang w:eastAsia="zh-CN"/>
        </w:rPr>
        <w:t>服务促进中心</w:t>
      </w:r>
      <w:r>
        <w:rPr>
          <w:rFonts w:hint="eastAsia" w:ascii="方正小标宋简体" w:hAnsi="方正小标宋简体" w:eastAsia="方正小标宋简体" w:cs="方正小标宋简体"/>
          <w:sz w:val="72"/>
          <w:szCs w:val="72"/>
        </w:rPr>
        <w:t>单位决</w:t>
      </w:r>
      <w:bookmarkEnd w:id="7"/>
      <w:bookmarkEnd w:id="8"/>
      <w:bookmarkEnd w:id="9"/>
      <w:bookmarkEnd w:id="10"/>
      <w:bookmarkEnd w:id="11"/>
      <w:bookmarkEnd w:id="12"/>
      <w:bookmarkEnd w:id="13"/>
      <w:r>
        <w:rPr>
          <w:rFonts w:hint="eastAsia" w:ascii="方正小标宋简体" w:hAnsi="方正小标宋简体" w:eastAsia="方正小标宋简体" w:cs="方正小标宋简体"/>
          <w:sz w:val="72"/>
          <w:szCs w:val="72"/>
          <w:lang w:eastAsia="zh-CN"/>
        </w:rPr>
        <w:t>算</w:t>
      </w:r>
    </w:p>
    <w:sdt>
      <w:sdtPr>
        <w:rPr>
          <w:rFonts w:hint="eastAsia" w:ascii="黑体" w:hAnsi="黑体" w:eastAsia="黑体"/>
          <w:sz w:val="48"/>
          <w:szCs w:val="48"/>
          <w:lang w:val="en-US" w:eastAsia="zh-CN"/>
        </w:rPr>
        <w:id w:val="147463419"/>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pPr>
            <w:widowControl/>
            <w:jc w:val="center"/>
            <w:rPr>
              <w:rFonts w:hint="eastAsia" w:ascii="黑体" w:hAnsi="黑体" w:eastAsia="黑体"/>
              <w:sz w:val="48"/>
              <w:szCs w:val="48"/>
            </w:rPr>
          </w:pPr>
          <w:bookmarkStart w:id="14" w:name="_Toc15377196"/>
          <w:bookmarkStart w:id="15" w:name="_Toc15396599"/>
          <w:r>
            <w:rPr>
              <w:rFonts w:hint="eastAsia" w:ascii="黑体" w:hAnsi="黑体" w:eastAsia="黑体"/>
              <w:sz w:val="48"/>
              <w:szCs w:val="48"/>
            </w:rPr>
            <w:t>目录</w:t>
          </w:r>
        </w:p>
        <w:p>
          <w:pPr>
            <w:pStyle w:val="14"/>
            <w:ind w:left="0" w:leftChars="0" w:firstLine="0" w:firstLineChars="0"/>
            <w:rPr>
              <w:rFonts w:hint="eastAsia"/>
            </w:rPr>
          </w:pPr>
        </w:p>
        <w:p>
          <w:pPr>
            <w:pStyle w:val="11"/>
            <w:rPr>
              <w:rFonts w:hint="eastAsia"/>
            </w:rPr>
          </w:pPr>
          <w:r>
            <w:rPr>
              <w:rFonts w:hint="eastAsia"/>
            </w:rPr>
            <w:t>公开时间：2022年</w:t>
          </w:r>
          <w:r>
            <w:rPr>
              <w:rFonts w:hint="eastAsia"/>
              <w:lang w:val="en-US" w:eastAsia="zh-CN"/>
            </w:rPr>
            <w:t>10</w:t>
          </w:r>
          <w:r>
            <w:rPr>
              <w:rFonts w:hint="eastAsia"/>
            </w:rPr>
            <w:t>月</w:t>
          </w:r>
          <w:r>
            <w:rPr>
              <w:rFonts w:hint="eastAsia"/>
              <w:lang w:val="en-US" w:eastAsia="zh-CN"/>
            </w:rPr>
            <w:t xml:space="preserve">  14</w:t>
          </w:r>
          <w:bookmarkStart w:id="103" w:name="_GoBack"/>
          <w:bookmarkEnd w:id="103"/>
          <w:r>
            <w:rPr>
              <w:rFonts w:hint="eastAsia"/>
            </w:rPr>
            <w:t>日</w:t>
          </w:r>
        </w:p>
        <w:p>
          <w:pPr>
            <w:pStyle w:val="33"/>
            <w:tabs>
              <w:tab w:val="right" w:leader="dot" w:pos="8306"/>
            </w:tabs>
            <w:rPr>
              <w:b/>
            </w:rPr>
          </w:pPr>
          <w:r>
            <w:rPr>
              <w:rFonts w:hint="eastAsia"/>
            </w:rPr>
            <w:fldChar w:fldCharType="begin"/>
          </w:r>
          <w:r>
            <w:rPr>
              <w:rFonts w:hint="eastAsia"/>
            </w:rPr>
            <w:instrText xml:space="preserve">TOC \o "1-2" \h \u </w:instrText>
          </w:r>
          <w:r>
            <w:rPr>
              <w:rFonts w:hint="eastAsia"/>
            </w:rPr>
            <w:fldChar w:fldCharType="separate"/>
          </w:r>
        </w:p>
        <w:p>
          <w:pPr>
            <w:pStyle w:val="11"/>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_Toc10793 </w:instrText>
          </w:r>
          <w:r>
            <w:rPr>
              <w:rFonts w:hint="eastAsia"/>
              <w:sz w:val="24"/>
            </w:rPr>
            <w:fldChar w:fldCharType="separate"/>
          </w:r>
          <w:r>
            <w:rPr>
              <w:rFonts w:hint="eastAsia"/>
              <w:sz w:val="24"/>
            </w:rPr>
            <w:t>第一部分 单位概况</w:t>
          </w:r>
          <w:r>
            <w:rPr>
              <w:rFonts w:hint="eastAsia"/>
              <w:sz w:val="24"/>
            </w:rPr>
            <w:tab/>
          </w:r>
          <w:r>
            <w:rPr>
              <w:rFonts w:hint="eastAsia"/>
              <w:sz w:val="24"/>
            </w:rPr>
            <w:fldChar w:fldCharType="begin"/>
          </w:r>
          <w:r>
            <w:rPr>
              <w:rFonts w:hint="eastAsia"/>
              <w:sz w:val="24"/>
            </w:rPr>
            <w:instrText xml:space="preserve"> PAGEREF _Toc10793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_Toc19639 </w:instrText>
          </w:r>
          <w:r>
            <w:rPr>
              <w:rFonts w:hint="eastAsia"/>
              <w:sz w:val="24"/>
            </w:rPr>
            <w:fldChar w:fldCharType="separate"/>
          </w:r>
          <w:r>
            <w:rPr>
              <w:rFonts w:hint="eastAsia"/>
              <w:sz w:val="24"/>
            </w:rPr>
            <w:t>一、 职能简介</w:t>
          </w:r>
          <w:r>
            <w:rPr>
              <w:rFonts w:hint="eastAsia"/>
              <w:sz w:val="24"/>
            </w:rPr>
            <w:tab/>
          </w:r>
          <w:r>
            <w:rPr>
              <w:rFonts w:hint="eastAsia"/>
              <w:sz w:val="24"/>
            </w:rPr>
            <w:fldChar w:fldCharType="begin"/>
          </w:r>
          <w:r>
            <w:rPr>
              <w:rFonts w:hint="eastAsia"/>
              <w:sz w:val="24"/>
            </w:rPr>
            <w:instrText xml:space="preserve"> PAGEREF _Toc19639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_Toc13288 </w:instrText>
          </w:r>
          <w:r>
            <w:rPr>
              <w:rFonts w:hint="eastAsia"/>
              <w:sz w:val="24"/>
            </w:rPr>
            <w:fldChar w:fldCharType="separate"/>
          </w:r>
          <w:r>
            <w:rPr>
              <w:rFonts w:hint="eastAsia"/>
              <w:sz w:val="24"/>
            </w:rPr>
            <w:t>二、2021年重点工作完成情况</w:t>
          </w:r>
          <w:r>
            <w:rPr>
              <w:rFonts w:hint="eastAsia"/>
              <w:sz w:val="24"/>
            </w:rPr>
            <w:tab/>
          </w:r>
          <w:r>
            <w:rPr>
              <w:rFonts w:hint="eastAsia"/>
              <w:sz w:val="24"/>
            </w:rPr>
            <w:fldChar w:fldCharType="begin"/>
          </w:r>
          <w:r>
            <w:rPr>
              <w:rFonts w:hint="eastAsia"/>
              <w:sz w:val="24"/>
            </w:rPr>
            <w:instrText xml:space="preserve"> PAGEREF _Toc13288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pPr>
            <w:pStyle w:val="11"/>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_Toc2423 </w:instrText>
          </w:r>
          <w:r>
            <w:rPr>
              <w:rFonts w:hint="eastAsia"/>
              <w:sz w:val="24"/>
            </w:rPr>
            <w:fldChar w:fldCharType="separate"/>
          </w:r>
          <w:r>
            <w:rPr>
              <w:rFonts w:hint="eastAsia"/>
              <w:sz w:val="24"/>
            </w:rPr>
            <w:t>第二部分 2021年度单位决算情况说明</w:t>
          </w:r>
          <w:r>
            <w:rPr>
              <w:rFonts w:hint="eastAsia"/>
              <w:sz w:val="24"/>
            </w:rPr>
            <w:tab/>
          </w:r>
          <w:r>
            <w:rPr>
              <w:rFonts w:hint="eastAsia"/>
              <w:sz w:val="24"/>
            </w:rPr>
            <w:fldChar w:fldCharType="begin"/>
          </w:r>
          <w:r>
            <w:rPr>
              <w:rFonts w:hint="eastAsia"/>
              <w:sz w:val="24"/>
            </w:rPr>
            <w:instrText xml:space="preserve"> PAGEREF _Toc2423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_Toc16471 </w:instrText>
          </w:r>
          <w:r>
            <w:rPr>
              <w:rFonts w:hint="eastAsia"/>
              <w:sz w:val="24"/>
            </w:rPr>
            <w:fldChar w:fldCharType="separate"/>
          </w:r>
          <w:r>
            <w:rPr>
              <w:rFonts w:hint="default"/>
              <w:sz w:val="24"/>
            </w:rPr>
            <w:t xml:space="preserve">一、 </w:t>
          </w:r>
          <w:r>
            <w:rPr>
              <w:rFonts w:hint="eastAsia"/>
              <w:sz w:val="24"/>
            </w:rPr>
            <w:t>收入支出决算总体情况说明</w:t>
          </w:r>
          <w:r>
            <w:rPr>
              <w:rFonts w:hint="eastAsia"/>
              <w:sz w:val="24"/>
            </w:rPr>
            <w:tab/>
          </w:r>
          <w:r>
            <w:rPr>
              <w:rFonts w:hint="eastAsia"/>
              <w:sz w:val="24"/>
            </w:rPr>
            <w:fldChar w:fldCharType="begin"/>
          </w:r>
          <w:r>
            <w:rPr>
              <w:rFonts w:hint="eastAsia"/>
              <w:sz w:val="24"/>
            </w:rPr>
            <w:instrText xml:space="preserve"> PAGEREF _Toc16471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_Toc10820 </w:instrText>
          </w:r>
          <w:r>
            <w:rPr>
              <w:rFonts w:hint="eastAsia"/>
              <w:sz w:val="24"/>
            </w:rPr>
            <w:fldChar w:fldCharType="separate"/>
          </w:r>
          <w:r>
            <w:rPr>
              <w:rFonts w:hint="default"/>
              <w:sz w:val="24"/>
            </w:rPr>
            <w:t xml:space="preserve">二、 </w:t>
          </w:r>
          <w:r>
            <w:rPr>
              <w:rFonts w:hint="eastAsia"/>
              <w:sz w:val="24"/>
            </w:rPr>
            <w:t>收入决算情况说明</w:t>
          </w:r>
          <w:r>
            <w:rPr>
              <w:rFonts w:hint="eastAsia"/>
              <w:sz w:val="24"/>
            </w:rPr>
            <w:tab/>
          </w:r>
          <w:r>
            <w:rPr>
              <w:rFonts w:hint="eastAsia"/>
              <w:sz w:val="24"/>
            </w:rPr>
            <w:fldChar w:fldCharType="begin"/>
          </w:r>
          <w:r>
            <w:rPr>
              <w:rFonts w:hint="eastAsia"/>
              <w:sz w:val="24"/>
            </w:rPr>
            <w:instrText xml:space="preserve"> PAGEREF _Toc10820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_Toc15513 </w:instrText>
          </w:r>
          <w:r>
            <w:rPr>
              <w:rFonts w:hint="eastAsia"/>
              <w:sz w:val="24"/>
            </w:rPr>
            <w:fldChar w:fldCharType="separate"/>
          </w:r>
          <w:r>
            <w:rPr>
              <w:rFonts w:hint="default"/>
              <w:sz w:val="24"/>
            </w:rPr>
            <w:t xml:space="preserve">三、 </w:t>
          </w:r>
          <w:r>
            <w:rPr>
              <w:rFonts w:hint="eastAsia"/>
              <w:sz w:val="24"/>
            </w:rPr>
            <w:t>支出决算情况说明</w:t>
          </w:r>
          <w:r>
            <w:rPr>
              <w:rFonts w:hint="eastAsia"/>
              <w:sz w:val="24"/>
            </w:rPr>
            <w:tab/>
          </w:r>
          <w:r>
            <w:rPr>
              <w:rFonts w:hint="eastAsia"/>
              <w:sz w:val="24"/>
            </w:rPr>
            <w:fldChar w:fldCharType="begin"/>
          </w:r>
          <w:r>
            <w:rPr>
              <w:rFonts w:hint="eastAsia"/>
              <w:sz w:val="24"/>
            </w:rPr>
            <w:instrText xml:space="preserve"> PAGEREF _Toc15513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_Toc1597 </w:instrText>
          </w:r>
          <w:r>
            <w:rPr>
              <w:rFonts w:hint="eastAsia"/>
              <w:sz w:val="24"/>
            </w:rPr>
            <w:fldChar w:fldCharType="separate"/>
          </w:r>
          <w:r>
            <w:rPr>
              <w:rFonts w:hint="eastAsia"/>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_Toc1597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_Toc23828 </w:instrText>
          </w:r>
          <w:r>
            <w:rPr>
              <w:rFonts w:hint="eastAsia"/>
              <w:sz w:val="24"/>
            </w:rPr>
            <w:fldChar w:fldCharType="separate"/>
          </w:r>
          <w:r>
            <w:rPr>
              <w:rFonts w:hint="eastAsia"/>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_Toc23828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_Toc19259 </w:instrText>
          </w:r>
          <w:r>
            <w:rPr>
              <w:rFonts w:hint="eastAsia"/>
              <w:sz w:val="24"/>
            </w:rP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_Toc19259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_Toc1971 </w:instrText>
          </w:r>
          <w:r>
            <w:rPr>
              <w:rFonts w:hint="eastAsia"/>
              <w:sz w:val="24"/>
            </w:rPr>
            <w:fldChar w:fldCharType="separate"/>
          </w:r>
          <w:r>
            <w:rPr>
              <w:rFonts w:hint="eastAsia"/>
              <w:sz w:val="24"/>
            </w:rPr>
            <w:t>七、“三公”经费财政拨款支出决算情况说明</w:t>
          </w:r>
          <w:r>
            <w:rPr>
              <w:rFonts w:hint="eastAsia"/>
              <w:sz w:val="24"/>
            </w:rPr>
            <w:tab/>
          </w:r>
          <w:r>
            <w:rPr>
              <w:rFonts w:hint="eastAsia"/>
              <w:sz w:val="24"/>
            </w:rPr>
            <w:fldChar w:fldCharType="begin"/>
          </w:r>
          <w:r>
            <w:rPr>
              <w:rFonts w:hint="eastAsia"/>
              <w:sz w:val="24"/>
            </w:rPr>
            <w:instrText xml:space="preserve"> PAGEREF _Toc1971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_Toc24752 </w:instrText>
          </w:r>
          <w:r>
            <w:rPr>
              <w:rFonts w:hint="eastAsia"/>
              <w:sz w:val="24"/>
            </w:rP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_Toc24752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_Toc255 </w:instrText>
          </w:r>
          <w:r>
            <w:rPr>
              <w:rFonts w:hint="eastAsia"/>
              <w:sz w:val="24"/>
            </w:rPr>
            <w:fldChar w:fldCharType="separate"/>
          </w:r>
          <w:r>
            <w:rPr>
              <w:rFonts w:hint="eastAsia"/>
              <w:sz w:val="24"/>
            </w:rPr>
            <w:t>九、 国有资本经营预算支出决算情况说明</w:t>
          </w:r>
          <w:r>
            <w:rPr>
              <w:rFonts w:hint="eastAsia"/>
              <w:sz w:val="24"/>
            </w:rPr>
            <w:tab/>
          </w:r>
          <w:r>
            <w:rPr>
              <w:rFonts w:hint="eastAsia"/>
              <w:sz w:val="24"/>
            </w:rPr>
            <w:fldChar w:fldCharType="begin"/>
          </w:r>
          <w:r>
            <w:rPr>
              <w:rFonts w:hint="eastAsia"/>
              <w:sz w:val="24"/>
            </w:rPr>
            <w:instrText xml:space="preserve"> PAGEREF _Toc255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_Toc23276 </w:instrText>
          </w:r>
          <w:r>
            <w:rPr>
              <w:rFonts w:hint="eastAsia"/>
              <w:sz w:val="24"/>
            </w:rPr>
            <w:fldChar w:fldCharType="separate"/>
          </w:r>
          <w:r>
            <w:rPr>
              <w:rFonts w:hint="eastAsia"/>
              <w:sz w:val="24"/>
            </w:rPr>
            <w:t>十、 其他重要事项的情况说明</w:t>
          </w:r>
          <w:r>
            <w:rPr>
              <w:rFonts w:hint="eastAsia"/>
              <w:sz w:val="24"/>
            </w:rPr>
            <w:tab/>
          </w:r>
          <w:r>
            <w:rPr>
              <w:rFonts w:hint="eastAsia"/>
              <w:sz w:val="24"/>
            </w:rPr>
            <w:fldChar w:fldCharType="begin"/>
          </w:r>
          <w:r>
            <w:rPr>
              <w:rFonts w:hint="eastAsia"/>
              <w:sz w:val="24"/>
            </w:rPr>
            <w:instrText xml:space="preserve"> PAGEREF _Toc23276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1"/>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_Toc9865 </w:instrText>
          </w:r>
          <w:r>
            <w:rPr>
              <w:rFonts w:hint="eastAsia"/>
              <w:sz w:val="24"/>
            </w:rPr>
            <w:fldChar w:fldCharType="separate"/>
          </w:r>
          <w:r>
            <w:rPr>
              <w:rFonts w:hint="eastAsia"/>
              <w:sz w:val="24"/>
            </w:rPr>
            <w:t>第三部分 名词解释</w:t>
          </w:r>
          <w:r>
            <w:rPr>
              <w:rFonts w:hint="eastAsia"/>
              <w:sz w:val="24"/>
            </w:rPr>
            <w:tab/>
          </w:r>
          <w:r>
            <w:rPr>
              <w:rFonts w:hint="eastAsia"/>
              <w:sz w:val="24"/>
            </w:rPr>
            <w:fldChar w:fldCharType="begin"/>
          </w:r>
          <w:r>
            <w:rPr>
              <w:rFonts w:hint="eastAsia"/>
              <w:sz w:val="24"/>
            </w:rPr>
            <w:instrText xml:space="preserve"> PAGEREF _Toc9865 </w:instrText>
          </w:r>
          <w:r>
            <w:rPr>
              <w:rFonts w:hint="eastAsia"/>
              <w:sz w:val="24"/>
            </w:rPr>
            <w:fldChar w:fldCharType="separate"/>
          </w:r>
          <w:r>
            <w:rPr>
              <w:rFonts w:hint="eastAsia"/>
              <w:sz w:val="24"/>
            </w:rPr>
            <w:t>15</w:t>
          </w:r>
          <w:r>
            <w:rPr>
              <w:rFonts w:hint="eastAsia"/>
              <w:sz w:val="24"/>
            </w:rPr>
            <w:fldChar w:fldCharType="end"/>
          </w:r>
          <w:r>
            <w:rPr>
              <w:rFonts w:hint="eastAsia"/>
              <w:sz w:val="24"/>
            </w:rPr>
            <w:fldChar w:fldCharType="end"/>
          </w:r>
        </w:p>
        <w:p>
          <w:pPr>
            <w:pStyle w:val="11"/>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_Toc22969 </w:instrText>
          </w:r>
          <w:r>
            <w:rPr>
              <w:rFonts w:hint="eastAsia"/>
              <w:sz w:val="24"/>
            </w:rPr>
            <w:fldChar w:fldCharType="separate"/>
          </w:r>
          <w:r>
            <w:rPr>
              <w:rFonts w:hint="eastAsia"/>
              <w:sz w:val="24"/>
            </w:rPr>
            <w:t>第四部分 附件</w:t>
          </w:r>
          <w:r>
            <w:rPr>
              <w:rFonts w:hint="eastAsia"/>
              <w:sz w:val="24"/>
            </w:rPr>
            <w:tab/>
          </w:r>
          <w:r>
            <w:rPr>
              <w:rFonts w:hint="eastAsia"/>
              <w:sz w:val="24"/>
            </w:rPr>
            <w:fldChar w:fldCharType="begin"/>
          </w:r>
          <w:r>
            <w:rPr>
              <w:rFonts w:hint="eastAsia"/>
              <w:sz w:val="24"/>
            </w:rPr>
            <w:instrText xml:space="preserve"> PAGEREF _Toc22969 </w:instrText>
          </w:r>
          <w:r>
            <w:rPr>
              <w:rFonts w:hint="eastAsia"/>
              <w:sz w:val="24"/>
            </w:rPr>
            <w:fldChar w:fldCharType="separate"/>
          </w:r>
          <w:r>
            <w:rPr>
              <w:rFonts w:hint="eastAsia"/>
              <w:sz w:val="24"/>
            </w:rPr>
            <w:t>18</w:t>
          </w:r>
          <w:r>
            <w:rPr>
              <w:rFonts w:hint="eastAsia"/>
              <w:sz w:val="24"/>
            </w:rPr>
            <w:fldChar w:fldCharType="end"/>
          </w:r>
          <w:r>
            <w:rPr>
              <w:rFonts w:hint="eastAsia"/>
              <w:sz w:val="24"/>
            </w:rPr>
            <w:fldChar w:fldCharType="end"/>
          </w:r>
        </w:p>
        <w:p>
          <w:pPr>
            <w:pStyle w:val="11"/>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_Toc22403 </w:instrText>
          </w:r>
          <w:r>
            <w:rPr>
              <w:rFonts w:hint="eastAsia"/>
              <w:sz w:val="24"/>
            </w:rPr>
            <w:fldChar w:fldCharType="separate"/>
          </w:r>
          <w:r>
            <w:rPr>
              <w:rFonts w:hint="eastAsia"/>
              <w:sz w:val="24"/>
            </w:rPr>
            <w:t>附件</w:t>
          </w:r>
          <w:r>
            <w:rPr>
              <w:rFonts w:hint="eastAsia"/>
              <w:sz w:val="24"/>
            </w:rPr>
            <w:tab/>
          </w:r>
          <w:r>
            <w:rPr>
              <w:rFonts w:hint="eastAsia"/>
              <w:sz w:val="24"/>
            </w:rPr>
            <w:fldChar w:fldCharType="begin"/>
          </w:r>
          <w:r>
            <w:rPr>
              <w:rFonts w:hint="eastAsia"/>
              <w:sz w:val="24"/>
            </w:rPr>
            <w:instrText xml:space="preserve"> PAGEREF _Toc22403 </w:instrText>
          </w:r>
          <w:r>
            <w:rPr>
              <w:rFonts w:hint="eastAsia"/>
              <w:sz w:val="24"/>
            </w:rPr>
            <w:fldChar w:fldCharType="separate"/>
          </w:r>
          <w:r>
            <w:rPr>
              <w:rFonts w:hint="eastAsia"/>
              <w:sz w:val="24"/>
            </w:rPr>
            <w:t>18</w:t>
          </w:r>
          <w:r>
            <w:rPr>
              <w:rFonts w:hint="eastAsia"/>
              <w:sz w:val="24"/>
            </w:rPr>
            <w:fldChar w:fldCharType="end"/>
          </w:r>
          <w:r>
            <w:rPr>
              <w:rFonts w:hint="eastAsia"/>
              <w:sz w:val="24"/>
            </w:rPr>
            <w:fldChar w:fldCharType="end"/>
          </w:r>
        </w:p>
        <w:p>
          <w:pPr>
            <w:pStyle w:val="11"/>
            <w:adjustRightInd w:val="0"/>
            <w:snapToGrid w:val="0"/>
            <w:spacing w:before="0" w:line="440" w:lineRule="exact"/>
            <w:jc w:val="left"/>
            <w:rPr>
              <w:rFonts w:hint="eastAsia"/>
              <w:sz w:val="24"/>
            </w:rPr>
          </w:pPr>
          <w:r>
            <w:rPr>
              <w:rFonts w:hint="eastAsia"/>
              <w:sz w:val="24"/>
            </w:rPr>
            <w:fldChar w:fldCharType="begin"/>
          </w:r>
          <w:r>
            <w:rPr>
              <w:rFonts w:hint="eastAsia"/>
              <w:sz w:val="24"/>
            </w:rPr>
            <w:instrText xml:space="preserve"> HYPERLINK \l _Toc19402 </w:instrText>
          </w:r>
          <w:r>
            <w:rPr>
              <w:rFonts w:hint="eastAsia"/>
              <w:sz w:val="24"/>
            </w:rPr>
            <w:fldChar w:fldCharType="separate"/>
          </w:r>
          <w:r>
            <w:rPr>
              <w:rFonts w:hint="eastAsia"/>
              <w:sz w:val="24"/>
            </w:rPr>
            <w:t>第五部分 附表</w:t>
          </w:r>
          <w:r>
            <w:rPr>
              <w:rFonts w:hint="eastAsia"/>
              <w:sz w:val="24"/>
            </w:rPr>
            <w:tab/>
          </w:r>
          <w:r>
            <w:rPr>
              <w:rFonts w:hint="eastAsia"/>
              <w:sz w:val="24"/>
            </w:rPr>
            <w:fldChar w:fldCharType="begin"/>
          </w:r>
          <w:r>
            <w:rPr>
              <w:rFonts w:hint="eastAsia"/>
              <w:sz w:val="24"/>
            </w:rPr>
            <w:instrText xml:space="preserve"> PAGEREF _Toc19402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_Toc19191 </w:instrText>
          </w:r>
          <w:r>
            <w:rPr>
              <w:rFonts w:hint="eastAsia"/>
              <w:sz w:val="24"/>
            </w:rP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_Toc19191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_Toc2712 </w:instrText>
          </w:r>
          <w:r>
            <w:rPr>
              <w:rFonts w:hint="eastAsia"/>
              <w:sz w:val="24"/>
            </w:rP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_Toc2712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_Toc24747 </w:instrText>
          </w:r>
          <w:r>
            <w:rPr>
              <w:rFonts w:hint="eastAsia"/>
              <w:sz w:val="24"/>
            </w:rP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_Toc24747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_Toc31292 </w:instrText>
          </w:r>
          <w:r>
            <w:rPr>
              <w:rFonts w:hint="eastAsia"/>
              <w:sz w:val="24"/>
            </w:rP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_Toc31292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_Toc2585 </w:instrText>
          </w:r>
          <w:r>
            <w:rPr>
              <w:rFonts w:hint="eastAsia"/>
              <w:sz w:val="24"/>
            </w:rP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_Toc2585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_Toc29958 </w:instrText>
          </w:r>
          <w:r>
            <w:rPr>
              <w:rFonts w:hint="eastAsia"/>
              <w:sz w:val="24"/>
            </w:rP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_Toc29958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_Toc5151 </w:instrText>
          </w:r>
          <w:r>
            <w:rPr>
              <w:rFonts w:hint="eastAsia"/>
              <w:sz w:val="24"/>
            </w:rP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_Toc5151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_Toc18659 </w:instrText>
          </w:r>
          <w:r>
            <w:rPr>
              <w:rFonts w:hint="eastAsia"/>
              <w:sz w:val="24"/>
            </w:rP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_Toc18659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_Toc8030 </w:instrText>
          </w:r>
          <w:r>
            <w:rPr>
              <w:rFonts w:hint="eastAsia"/>
              <w:sz w:val="24"/>
            </w:rP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_Toc8030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_Toc31946 </w:instrText>
          </w:r>
          <w:r>
            <w:rPr>
              <w:rFonts w:hint="eastAsia"/>
              <w:sz w:val="24"/>
            </w:rPr>
            <w:fldChar w:fldCharType="separate"/>
          </w:r>
          <w:r>
            <w:rPr>
              <w:rFonts w:hint="eastAsia"/>
              <w:sz w:val="24"/>
            </w:rPr>
            <w:t>十、一般公共预算财政拨款“三公”经费支出决算表</w:t>
          </w:r>
          <w:r>
            <w:rPr>
              <w:rFonts w:hint="eastAsia"/>
              <w:sz w:val="24"/>
            </w:rPr>
            <w:tab/>
          </w:r>
          <w:r>
            <w:rPr>
              <w:rFonts w:hint="eastAsia"/>
              <w:sz w:val="24"/>
            </w:rPr>
            <w:fldChar w:fldCharType="begin"/>
          </w:r>
          <w:r>
            <w:rPr>
              <w:rFonts w:hint="eastAsia"/>
              <w:sz w:val="24"/>
            </w:rPr>
            <w:instrText xml:space="preserve"> PAGEREF _Toc31946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_Toc17502 </w:instrText>
          </w:r>
          <w:r>
            <w:rPr>
              <w:rFonts w:hint="eastAsia"/>
              <w:sz w:val="24"/>
            </w:rPr>
            <w:fldChar w:fldCharType="separate"/>
          </w:r>
          <w:r>
            <w:rPr>
              <w:rFonts w:hint="eastAsia"/>
              <w:sz w:val="24"/>
            </w:rPr>
            <w:t>十一、政府性基金预算财政拨款收入支出决算表</w:t>
          </w:r>
          <w:r>
            <w:rPr>
              <w:rFonts w:hint="eastAsia"/>
              <w:sz w:val="24"/>
            </w:rPr>
            <w:tab/>
          </w:r>
          <w:r>
            <w:rPr>
              <w:rFonts w:hint="eastAsia"/>
              <w:sz w:val="24"/>
            </w:rPr>
            <w:fldChar w:fldCharType="begin"/>
          </w:r>
          <w:r>
            <w:rPr>
              <w:rFonts w:hint="eastAsia"/>
              <w:sz w:val="24"/>
            </w:rPr>
            <w:instrText xml:space="preserve"> PAGEREF _Toc17502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_Toc1741 </w:instrText>
          </w:r>
          <w:r>
            <w:rPr>
              <w:rFonts w:hint="eastAsia"/>
              <w:sz w:val="24"/>
            </w:rPr>
            <w:fldChar w:fldCharType="separate"/>
          </w:r>
          <w:r>
            <w:rPr>
              <w:rFonts w:hint="eastAsia"/>
              <w:sz w:val="24"/>
            </w:rPr>
            <w:t>十二、政府性基金预算财政拨款“三公”经费支出决算表</w:t>
          </w:r>
          <w:r>
            <w:rPr>
              <w:rFonts w:hint="eastAsia"/>
              <w:sz w:val="24"/>
            </w:rPr>
            <w:tab/>
          </w:r>
          <w:r>
            <w:rPr>
              <w:rFonts w:hint="eastAsia"/>
              <w:sz w:val="24"/>
            </w:rPr>
            <w:fldChar w:fldCharType="begin"/>
          </w:r>
          <w:r>
            <w:rPr>
              <w:rFonts w:hint="eastAsia"/>
              <w:sz w:val="24"/>
            </w:rPr>
            <w:instrText xml:space="preserve"> PAGEREF _Toc1741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_Toc2538 </w:instrText>
          </w:r>
          <w:r>
            <w:rPr>
              <w:rFonts w:hint="eastAsia"/>
              <w:sz w:val="24"/>
            </w:rPr>
            <w:fldChar w:fldCharType="separate"/>
          </w:r>
          <w:r>
            <w:rPr>
              <w:rFonts w:hint="eastAsia"/>
              <w:sz w:val="24"/>
            </w:rPr>
            <w:t>十三、国有资本经营预算财政拨款收入支出决算表</w:t>
          </w:r>
          <w:r>
            <w:rPr>
              <w:rFonts w:hint="eastAsia"/>
              <w:sz w:val="24"/>
            </w:rPr>
            <w:tab/>
          </w:r>
          <w:r>
            <w:rPr>
              <w:rFonts w:hint="eastAsia"/>
              <w:sz w:val="24"/>
            </w:rPr>
            <w:fldChar w:fldCharType="begin"/>
          </w:r>
          <w:r>
            <w:rPr>
              <w:rFonts w:hint="eastAsia"/>
              <w:sz w:val="24"/>
            </w:rPr>
            <w:instrText xml:space="preserve"> PAGEREF _Toc2538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_Toc8071 </w:instrText>
          </w:r>
          <w:r>
            <w:rPr>
              <w:rFonts w:hint="eastAsia"/>
              <w:sz w:val="24"/>
            </w:rPr>
            <w:fldChar w:fldCharType="separate"/>
          </w:r>
          <w:r>
            <w:rPr>
              <w:rFonts w:hint="eastAsia"/>
              <w:sz w:val="24"/>
            </w:rPr>
            <w:t>十四、国有资本经营预算财政拨款支出决算表</w:t>
          </w:r>
          <w:r>
            <w:rPr>
              <w:rFonts w:hint="eastAsia"/>
              <w:sz w:val="24"/>
            </w:rPr>
            <w:tab/>
          </w:r>
          <w:r>
            <w:rPr>
              <w:rFonts w:hint="eastAsia"/>
              <w:sz w:val="24"/>
            </w:rPr>
            <w:fldChar w:fldCharType="begin"/>
          </w:r>
          <w:r>
            <w:rPr>
              <w:rFonts w:hint="eastAsia"/>
              <w:sz w:val="24"/>
            </w:rPr>
            <w:instrText xml:space="preserve"> PAGEREF _Toc8071 </w:instrText>
          </w:r>
          <w:r>
            <w:rPr>
              <w:rFonts w:hint="eastAsia"/>
              <w:sz w:val="24"/>
            </w:rPr>
            <w:fldChar w:fldCharType="separate"/>
          </w:r>
          <w:r>
            <w:rPr>
              <w:rFonts w:hint="eastAsia"/>
              <w:sz w:val="24"/>
            </w:rPr>
            <w:t>21</w:t>
          </w:r>
          <w:r>
            <w:rPr>
              <w:rFonts w:hint="eastAsia"/>
              <w:sz w:val="24"/>
            </w:rPr>
            <w:fldChar w:fldCharType="end"/>
          </w:r>
          <w:r>
            <w:rPr>
              <w:rFonts w:hint="eastAsia"/>
              <w:sz w:val="24"/>
            </w:rPr>
            <w:fldChar w:fldCharType="end"/>
          </w:r>
        </w:p>
        <w:p>
          <w:pPr>
            <w:rPr>
              <w:rFonts w:hint="eastAsia"/>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b/>
            </w:rPr>
            <w:fldChar w:fldCharType="end"/>
          </w:r>
        </w:p>
      </w:sdtContent>
    </w:sdt>
    <w:p>
      <w:pPr>
        <w:pStyle w:val="3"/>
        <w:jc w:val="center"/>
        <w:rPr>
          <w:rStyle w:val="27"/>
          <w:rFonts w:ascii="黑体" w:hAnsi="黑体" w:eastAsia="黑体"/>
          <w:b/>
          <w:bCs w:val="0"/>
        </w:rPr>
      </w:pPr>
      <w:bookmarkStart w:id="16" w:name="_Toc10793"/>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numPr>
          <w:ilvl w:val="0"/>
          <w:numId w:val="1"/>
        </w:numPr>
        <w:rPr>
          <w:rStyle w:val="28"/>
          <w:rFonts w:hint="eastAsia" w:ascii="黑体" w:hAnsi="黑体" w:eastAsia="黑体"/>
          <w:b w:val="0"/>
          <w:bCs w:val="0"/>
        </w:rPr>
      </w:pPr>
      <w:bookmarkStart w:id="17" w:name="_Toc19639"/>
      <w:bookmarkStart w:id="18" w:name="_Toc15396600"/>
      <w:bookmarkStart w:id="19" w:name="_Toc15377197"/>
      <w:r>
        <w:rPr>
          <w:rStyle w:val="28"/>
          <w:rFonts w:hint="eastAsia" w:ascii="黑体" w:hAnsi="黑体" w:eastAsia="黑体"/>
          <w:b w:val="0"/>
          <w:bCs w:val="0"/>
        </w:rPr>
        <w:t>职能简介</w:t>
      </w:r>
      <w:bookmarkEnd w:id="17"/>
    </w:p>
    <w:p>
      <w:pPr>
        <w:pStyle w:val="2"/>
        <w:adjustRightInd w:val="0"/>
        <w:snapToGrid w:val="0"/>
        <w:spacing w:before="93" w:line="56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开展知识产权法规、政策、工作等调查研究，负责省、市知识产权专项资金项目管理工作。推进全市知识产权运营、转移转化等服务促进工作。推动企业实施知识产权管理规范国家标准。开展园区、企业知识产权试点示范和优势培育，培育知识产权密集型产业和企业。推进知识产权金融创新，承担专利奖组织推荐、专利数据统计、专利资助等工作。开展知识产权宣传培训，开展中小学知识产权普及教育试点，推动高等院校知识产权学科建设。</w:t>
      </w:r>
    </w:p>
    <w:p>
      <w:pPr>
        <w:pStyle w:val="2"/>
        <w:adjustRightInd w:val="0"/>
        <w:snapToGrid w:val="0"/>
        <w:spacing w:before="93" w:line="560" w:lineRule="exact"/>
        <w:ind w:firstLine="672" w:firstLineChars="210"/>
        <w:outlineLvl w:val="2"/>
      </w:pPr>
      <w:r>
        <w:rPr>
          <w:rFonts w:hint="eastAsia" w:ascii="仿宋" w:hAnsi="仿宋" w:eastAsia="仿宋"/>
          <w:bCs/>
          <w:color w:val="000000"/>
          <w:sz w:val="32"/>
          <w:szCs w:val="32"/>
        </w:rPr>
        <w:t>负责知识产权维权援助服务工作。指导企事业单位应对各类知识产权纠纷。推动开展知识产权仲裁、调解工作。推进全市知识产权公共服务平台建设，承担知识产权信息开发利用和传播利用。开展产业知识产权导航，参与全市重大经济科技活动知识产权评议工作。推动企业、高等学校、科研院所等创新创业主体开展知识产权布局。加强知识产权服务机构的管理。</w:t>
      </w:r>
    </w:p>
    <w:p>
      <w:pPr>
        <w:pStyle w:val="4"/>
        <w:rPr>
          <w:rFonts w:hint="eastAsia" w:ascii="黑体" w:hAnsi="黑体" w:eastAsia="黑体"/>
          <w:b w:val="0"/>
          <w:highlight w:val="none"/>
        </w:rPr>
      </w:pPr>
      <w:bookmarkStart w:id="20" w:name="_Toc13288"/>
      <w:r>
        <w:rPr>
          <w:rFonts w:hint="eastAsia" w:ascii="黑体" w:hAnsi="黑体" w:eastAsia="黑体"/>
          <w:b w:val="0"/>
          <w:highlight w:val="none"/>
        </w:rPr>
        <w:t>二、2021年重点工作</w:t>
      </w:r>
      <w:bookmarkEnd w:id="18"/>
      <w:bookmarkEnd w:id="19"/>
      <w:r>
        <w:rPr>
          <w:rFonts w:hint="eastAsia" w:ascii="黑体" w:hAnsi="黑体" w:eastAsia="黑体"/>
          <w:b w:val="0"/>
          <w:highlight w:val="none"/>
        </w:rPr>
        <w:t>完成情况</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479" w:firstLineChars="149"/>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b/>
          <w:color w:val="000000" w:themeColor="text1"/>
          <w:sz w:val="32"/>
          <w:szCs w:val="32"/>
          <w:lang w:eastAsia="zh-CN"/>
          <w14:textFill>
            <w14:solidFill>
              <w14:schemeClr w14:val="tx1"/>
            </w14:solidFill>
          </w14:textFill>
        </w:rPr>
        <w:t>（一）</w:t>
      </w:r>
      <w:r>
        <w:rPr>
          <w:rFonts w:hint="eastAsia" w:ascii="Times New Roman" w:hAnsi="Times New Roman" w:eastAsia="楷体_GB2312"/>
          <w:b/>
          <w:color w:val="000000" w:themeColor="text1"/>
          <w:sz w:val="32"/>
          <w:szCs w:val="32"/>
          <w14:textFill>
            <w14:solidFill>
              <w14:schemeClr w14:val="tx1"/>
            </w14:solidFill>
          </w14:textFill>
        </w:rPr>
        <w:t>知识产权政策措施不断健全，管理服务能力进一步提升。</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lang w:eastAsia="zh-CN"/>
          <w14:textFill>
            <w14:solidFill>
              <w14:schemeClr w14:val="tx1"/>
            </w14:solidFill>
          </w14:textFill>
        </w:rPr>
        <w:t>强化政策支撑。参与</w:t>
      </w:r>
      <w:r>
        <w:rPr>
          <w:rFonts w:hint="eastAsia" w:ascii="仿宋_GB2312" w:hAnsi="仿宋_GB2312" w:eastAsia="仿宋_GB2312" w:cs="仿宋_GB2312"/>
          <w:b w:val="0"/>
          <w:bCs/>
          <w:color w:val="000000" w:themeColor="text1"/>
          <w:sz w:val="32"/>
          <w:szCs w:val="32"/>
          <w14:textFill>
            <w14:solidFill>
              <w14:schemeClr w14:val="tx1"/>
            </w14:solidFill>
          </w14:textFill>
        </w:rPr>
        <w:t>十四五知识产权规划编制</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eastAsia="仿宋_GB2312" w:cs="Times New Roman"/>
          <w:color w:val="000000" w:themeColor="text1"/>
          <w:sz w:val="32"/>
          <w:lang w:eastAsia="zh-CN"/>
          <w14:textFill>
            <w14:solidFill>
              <w14:schemeClr w14:val="tx1"/>
            </w14:solidFill>
          </w14:textFill>
        </w:rPr>
        <w:t>研究</w:t>
      </w:r>
      <w:r>
        <w:rPr>
          <w:rFonts w:hint="eastAsia" w:ascii="仿宋_GB2312" w:eastAsia="仿宋_GB2312"/>
          <w:color w:val="000000" w:themeColor="text1"/>
          <w:sz w:val="32"/>
          <w:szCs w:val="32"/>
          <w:lang w:eastAsia="zh-CN"/>
          <w14:textFill>
            <w14:solidFill>
              <w14:schemeClr w14:val="tx1"/>
            </w14:solidFill>
          </w14:textFill>
        </w:rPr>
        <w:t>出台</w:t>
      </w:r>
      <w:r>
        <w:rPr>
          <w:rFonts w:hint="eastAsia" w:ascii="仿宋_GB2312" w:hAnsi="仿宋_GB2312" w:eastAsia="仿宋_GB2312" w:cs="仿宋_GB2312"/>
          <w:color w:val="000000" w:themeColor="text1"/>
          <w:sz w:val="32"/>
          <w:szCs w:val="32"/>
          <w14:textFill>
            <w14:solidFill>
              <w14:schemeClr w14:val="tx1"/>
            </w14:solidFill>
          </w14:textFill>
        </w:rPr>
        <w:t>《乐山市建设国家知识产权试点城市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sz w:val="32"/>
          <w:szCs w:val="32"/>
          <w14:textFill>
            <w14:solidFill>
              <w14:schemeClr w14:val="tx1"/>
            </w14:solidFill>
          </w14:textFill>
        </w:rPr>
        <w:t>推进计划》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、《关于联合构建乐山市知识产权保护指导工作机制的实施意见（试行）》、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《关于建立知识产权领域民事司法与行政执法衔接联动工作机制的意见（备忘录）》、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乐山市</w:t>
      </w:r>
      <w:r>
        <w:rPr>
          <w:rFonts w:hint="eastAsia" w:ascii="Times New Roman" w:hAnsi="Times New Roman" w:eastAsia="仿宋_GB2312"/>
          <w:color w:val="000000" w:themeColor="text1"/>
          <w:sz w:val="32"/>
          <w:szCs w:val="32"/>
          <w14:textFill>
            <w14:solidFill>
              <w14:schemeClr w14:val="tx1"/>
            </w14:solidFill>
          </w14:textFill>
        </w:rPr>
        <w:t>进一步加强知识产权维权援助工作实施方案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，明确工作职责、细化工作任务</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服务促进、维权援助制度</w:t>
      </w:r>
      <w:r>
        <w:rPr>
          <w:rFonts w:hint="eastAsia" w:ascii="仿宋_GB2312" w:hAnsi="仿宋_GB2312" w:eastAsia="仿宋_GB2312" w:cs="仿宋_GB2312"/>
          <w:color w:val="000000" w:themeColor="text1"/>
          <w:sz w:val="32"/>
          <w:szCs w:val="32"/>
          <w14:textFill>
            <w14:solidFill>
              <w14:schemeClr w14:val="tx1"/>
            </w14:solidFill>
          </w14:textFill>
        </w:rPr>
        <w:t>体系进一步完善。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lang w:eastAsia="zh-CN"/>
          <w14:textFill>
            <w14:solidFill>
              <w14:schemeClr w14:val="tx1"/>
            </w14:solidFill>
          </w14:textFill>
        </w:rPr>
        <w:t>强化试点示范。创建国家知识产权优势示范企业9家、省级知识产权优势培育和试点企业16家、市级知识产权试点示范企业</w:t>
      </w:r>
      <w:r>
        <w:rPr>
          <w:rFonts w:hint="eastAsia" w:ascii="仿宋_GB2312" w:eastAsia="仿宋_GB2312" w:cs="Times New Roman"/>
          <w:color w:val="000000" w:themeColor="text1"/>
          <w:sz w:val="32"/>
          <w:lang w:val="en-US" w:eastAsia="zh-CN"/>
          <w14:textFill>
            <w14:solidFill>
              <w14:schemeClr w14:val="tx1"/>
            </w14:solidFill>
          </w14:textFill>
        </w:rPr>
        <w:t>24家、</w:t>
      </w:r>
      <w:r>
        <w:rPr>
          <w:rFonts w:hint="eastAsia" w:ascii="仿宋_GB2312" w:eastAsia="仿宋_GB2312" w:cs="Times New Roman"/>
          <w:color w:val="000000" w:themeColor="text1"/>
          <w:sz w:val="32"/>
          <w:lang w:eastAsia="zh-CN"/>
          <w14:textFill>
            <w14:solidFill>
              <w14:schemeClr w14:val="tx1"/>
            </w14:solidFill>
          </w14:textFill>
        </w:rPr>
        <w:t>通过知识产权管理国家标准认证企业1</w:t>
      </w:r>
      <w:r>
        <w:rPr>
          <w:rFonts w:hint="eastAsia" w:ascii="仿宋_GB2312" w:eastAsia="仿宋_GB2312" w:cs="Times New Roman"/>
          <w:color w:val="000000" w:themeColor="text1"/>
          <w:sz w:val="32"/>
          <w:lang w:val="en-US" w:eastAsia="zh-CN"/>
          <w14:textFill>
            <w14:solidFill>
              <w14:schemeClr w14:val="tx1"/>
            </w14:solidFill>
          </w14:textFill>
        </w:rPr>
        <w:t>8</w:t>
      </w:r>
      <w:r>
        <w:rPr>
          <w:rFonts w:hint="eastAsia" w:ascii="仿宋_GB2312" w:eastAsia="仿宋_GB2312" w:cs="Times New Roman"/>
          <w:color w:val="000000" w:themeColor="text1"/>
          <w:sz w:val="32"/>
          <w:lang w:eastAsia="zh-CN"/>
          <w14:textFill>
            <w14:solidFill>
              <w14:schemeClr w14:val="tx1"/>
            </w14:solidFill>
          </w14:textFill>
        </w:rPr>
        <w:t>家、省级以上中小学知</w:t>
      </w:r>
      <w:r>
        <w:rPr>
          <w:rFonts w:hint="eastAsia" w:ascii="仿宋_GB2312" w:hAnsi="仿宋_GB2312" w:eastAsia="仿宋_GB2312" w:cs="仿宋_GB2312"/>
          <w:color w:val="000000" w:themeColor="text1"/>
          <w:sz w:val="32"/>
          <w:szCs w:val="32"/>
          <w14:textFill>
            <w14:solidFill>
              <w14:schemeClr w14:val="tx1"/>
            </w14:solidFill>
          </w14:textFill>
        </w:rPr>
        <w:t>识产权普及教育试点学校3家。3家企业进入《四川省企业创新活力百强榜》，3家企业进入《2020年四川省自主创新企业品牌价值50强榜》。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强化公共服务。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建成</w:t>
      </w:r>
      <w:r>
        <w:rPr>
          <w:rFonts w:hint="eastAsia" w:ascii="仿宋_GB2312" w:hAnsi="仿宋_GB2312" w:eastAsia="仿宋_GB2312" w:cs="仿宋_GB2312"/>
          <w:color w:val="000000" w:themeColor="text1"/>
          <w:sz w:val="32"/>
          <w:szCs w:val="32"/>
          <w14:textFill>
            <w14:solidFill>
              <w14:schemeClr w14:val="tx1"/>
            </w14:solidFill>
          </w14:textFill>
        </w:rPr>
        <w:t>国家知识产权试点城市建设信息大数据监测系统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四川省专利信息服务乐山市分中心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川省硅材料产业专利数据库。优化市场监管政务平台知识产权信息服务功能，发挥心连心12315、市政务大厅市场监管窗口、科技金融工作站知识产权公共服务功能，为全市市场主体、行业协会、权利人提供快捷的知识产权服务。</w:t>
      </w:r>
    </w:p>
    <w:p>
      <w:pPr>
        <w:keepNext w:val="0"/>
        <w:keepLines w:val="0"/>
        <w:pageBreakBefore w:val="0"/>
        <w:widowControl w:val="0"/>
        <w:kinsoku/>
        <w:wordWrap/>
        <w:overflowPunct/>
        <w:topLinePunct w:val="0"/>
        <w:autoSpaceDE/>
        <w:autoSpaceDN/>
        <w:bidi w:val="0"/>
        <w:adjustRightInd/>
        <w:snapToGrid/>
        <w:spacing w:line="560" w:lineRule="exact"/>
        <w:ind w:firstLine="479" w:firstLineChars="149"/>
        <w:textAlignment w:val="auto"/>
        <w:rPr>
          <w:rFonts w:hint="eastAsia" w:ascii="Times New Roman" w:hAnsi="Times New Roman" w:eastAsia="楷体_GB2312"/>
          <w:b/>
          <w:color w:val="000000" w:themeColor="text1"/>
          <w:sz w:val="32"/>
          <w:szCs w:val="32"/>
          <w:lang w:eastAsia="zh-CN"/>
          <w14:textFill>
            <w14:solidFill>
              <w14:schemeClr w14:val="tx1"/>
            </w14:solidFill>
          </w14:textFill>
        </w:rPr>
      </w:pPr>
      <w:r>
        <w:rPr>
          <w:rFonts w:hint="eastAsia" w:ascii="Times New Roman" w:hAnsi="Times New Roman" w:eastAsia="楷体_GB2312"/>
          <w:b/>
          <w:color w:val="000000" w:themeColor="text1"/>
          <w:sz w:val="32"/>
          <w:szCs w:val="32"/>
          <w:lang w:eastAsia="zh-CN"/>
          <w14:textFill>
            <w14:solidFill>
              <w14:schemeClr w14:val="tx1"/>
            </w14:solidFill>
          </w14:textFill>
        </w:rPr>
        <w:t>（二）</w:t>
      </w:r>
      <w:r>
        <w:rPr>
          <w:rFonts w:hint="eastAsia" w:ascii="Times New Roman" w:hAnsi="Times New Roman" w:eastAsia="楷体_GB2312"/>
          <w:b/>
          <w:color w:val="000000" w:themeColor="text1"/>
          <w:sz w:val="32"/>
          <w:szCs w:val="32"/>
          <w14:textFill>
            <w14:solidFill>
              <w14:schemeClr w14:val="tx1"/>
            </w14:solidFill>
          </w14:textFill>
        </w:rPr>
        <w:t>围绕高价值创造，知识产权</w:t>
      </w:r>
      <w:r>
        <w:rPr>
          <w:rFonts w:hint="eastAsia" w:ascii="Times New Roman" w:hAnsi="Times New Roman" w:eastAsia="楷体_GB2312"/>
          <w:b/>
          <w:color w:val="000000" w:themeColor="text1"/>
          <w:sz w:val="32"/>
          <w:szCs w:val="32"/>
          <w:lang w:eastAsia="zh-CN"/>
          <w14:textFill>
            <w14:solidFill>
              <w14:schemeClr w14:val="tx1"/>
            </w14:solidFill>
          </w14:textFill>
        </w:rPr>
        <w:t>提质</w:t>
      </w:r>
      <w:r>
        <w:rPr>
          <w:rFonts w:hint="eastAsia" w:ascii="Times New Roman" w:hAnsi="Times New Roman" w:eastAsia="楷体_GB2312"/>
          <w:b/>
          <w:color w:val="000000" w:themeColor="text1"/>
          <w:sz w:val="32"/>
          <w:szCs w:val="32"/>
          <w14:textFill>
            <w14:solidFill>
              <w14:schemeClr w14:val="tx1"/>
            </w14:solidFill>
          </w14:textFill>
        </w:rPr>
        <w:t>增量</w:t>
      </w:r>
      <w:r>
        <w:rPr>
          <w:rFonts w:hint="eastAsia" w:ascii="Times New Roman" w:hAnsi="Times New Roman" w:eastAsia="楷体_GB2312"/>
          <w:b/>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全市新增专利授权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2459</w:t>
      </w:r>
      <w:r>
        <w:rPr>
          <w:rFonts w:hint="eastAsia" w:ascii="仿宋_GB2312" w:hAnsi="仿宋_GB2312" w:eastAsia="仿宋_GB2312" w:cs="仿宋_GB2312"/>
          <w:color w:val="000000" w:themeColor="text1"/>
          <w:sz w:val="32"/>
          <w:szCs w:val="32"/>
          <w:lang w:val="zh-CN"/>
          <w14:textFill>
            <w14:solidFill>
              <w14:schemeClr w14:val="tx1"/>
            </w14:solidFill>
          </w14:textFill>
        </w:rPr>
        <w:t>件，同比增长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21.4%</w:t>
      </w:r>
      <w:r>
        <w:rPr>
          <w:rFonts w:hint="eastAsia" w:ascii="仿宋_GB2312" w:hAnsi="仿宋_GB2312" w:eastAsia="仿宋_GB2312" w:cs="仿宋_GB2312"/>
          <w:color w:val="000000" w:themeColor="text1"/>
          <w:sz w:val="32"/>
          <w:szCs w:val="32"/>
          <w:lang w:val="zh-CN"/>
          <w14:textFill>
            <w14:solidFill>
              <w14:schemeClr w14:val="tx1"/>
            </w14:solidFill>
          </w14:textFill>
        </w:rPr>
        <w:t>，其中发明专利授权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w:t>
      </w:r>
      <w:r>
        <w:rPr>
          <w:rFonts w:hint="eastAsia" w:ascii="仿宋_GB2312" w:hAnsi="仿宋_GB2312" w:eastAsia="仿宋_GB2312" w:cs="仿宋_GB2312"/>
          <w:color w:val="000000" w:themeColor="text1"/>
          <w:sz w:val="32"/>
          <w:szCs w:val="32"/>
          <w:lang w:val="zh-CN"/>
          <w14:textFill>
            <w14:solidFill>
              <w14:schemeClr w14:val="tx1"/>
            </w14:solidFill>
          </w14:textFill>
        </w:rPr>
        <w:t>件；有效发明专利拥有量达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1003</w:t>
      </w:r>
      <w:r>
        <w:rPr>
          <w:rFonts w:hint="eastAsia" w:ascii="仿宋_GB2312" w:hAnsi="仿宋_GB2312" w:eastAsia="仿宋_GB2312" w:cs="仿宋_GB2312"/>
          <w:color w:val="000000" w:themeColor="text1"/>
          <w:sz w:val="32"/>
          <w:szCs w:val="32"/>
          <w:lang w:val="zh-CN"/>
          <w14:textFill>
            <w14:solidFill>
              <w14:schemeClr w14:val="tx1"/>
            </w14:solidFill>
          </w14:textFill>
        </w:rPr>
        <w:t>件，同比增长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11.8%</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高价值发明</w:t>
      </w:r>
      <w:r>
        <w:rPr>
          <w:rFonts w:hint="eastAsia" w:ascii="仿宋_GB2312" w:hAnsi="仿宋_GB2312" w:eastAsia="仿宋_GB2312" w:cs="仿宋_GB2312"/>
          <w:color w:val="000000" w:themeColor="text1"/>
          <w:sz w:val="32"/>
          <w:szCs w:val="32"/>
          <w:lang w:val="zh-CN"/>
          <w14:textFill>
            <w14:solidFill>
              <w14:schemeClr w14:val="tx1"/>
            </w14:solidFill>
          </w14:textFill>
        </w:rPr>
        <w:t>专利拥有量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364件；</w:t>
      </w:r>
      <w:r>
        <w:rPr>
          <w:rFonts w:hint="eastAsia" w:ascii="仿宋_GB2312" w:hAnsi="仿宋_GB2312" w:eastAsia="仿宋_GB2312" w:cs="仿宋_GB2312"/>
          <w:color w:val="000000" w:themeColor="text1"/>
          <w:sz w:val="32"/>
          <w:szCs w:val="32"/>
          <w:lang w:val="zh-CN"/>
          <w14:textFill>
            <w14:solidFill>
              <w14:schemeClr w14:val="tx1"/>
            </w14:solidFill>
          </w14:textFill>
        </w:rPr>
        <w:t>1项专利获中国专利优秀奖</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市级高价值专利育成中心建设试点，</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14:textFill>
            <w14:solidFill>
              <w14:schemeClr w14:val="tx1"/>
            </w14:solidFill>
          </w14:textFill>
        </w:rPr>
        <w:t>尚纬股份协同四川大学、上海电缆研究所培育一批具有市场竞争力的核心专利和高价值专利。</w:t>
      </w:r>
    </w:p>
    <w:p>
      <w:pPr>
        <w:keepNext w:val="0"/>
        <w:keepLines w:val="0"/>
        <w:pageBreakBefore w:val="0"/>
        <w:widowControl w:val="0"/>
        <w:kinsoku/>
        <w:wordWrap/>
        <w:overflowPunct/>
        <w:topLinePunct w:val="0"/>
        <w:autoSpaceDE/>
        <w:autoSpaceDN/>
        <w:bidi w:val="0"/>
        <w:adjustRightInd/>
        <w:snapToGrid/>
        <w:spacing w:line="560" w:lineRule="exact"/>
        <w:ind w:firstLine="479" w:firstLineChars="149"/>
        <w:textAlignment w:val="auto"/>
        <w:rPr>
          <w:rFonts w:hint="eastAsia" w:ascii="仿宋_GB2312" w:hAnsi="仿宋_GB2312" w:eastAsia="楷体_GB2312" w:cs="仿宋_GB2312"/>
          <w:color w:val="000000" w:themeColor="text1"/>
          <w:sz w:val="32"/>
          <w:szCs w:val="32"/>
          <w:lang w:eastAsia="zh-CN"/>
          <w14:textFill>
            <w14:solidFill>
              <w14:schemeClr w14:val="tx1"/>
            </w14:solidFill>
          </w14:textFill>
        </w:rPr>
      </w:pPr>
      <w:r>
        <w:rPr>
          <w:rFonts w:hint="eastAsia" w:ascii="Times New Roman" w:hAnsi="Times New Roman" w:eastAsia="楷体_GB2312"/>
          <w:b/>
          <w:color w:val="000000" w:themeColor="text1"/>
          <w:sz w:val="32"/>
          <w:szCs w:val="32"/>
          <w:lang w:eastAsia="zh-CN"/>
          <w14:textFill>
            <w14:solidFill>
              <w14:schemeClr w14:val="tx1"/>
            </w14:solidFill>
          </w14:textFill>
        </w:rPr>
        <w:t>（三）</w:t>
      </w:r>
      <w:r>
        <w:rPr>
          <w:rFonts w:hint="eastAsia" w:ascii="Times New Roman" w:hAnsi="Times New Roman" w:eastAsia="楷体_GB2312"/>
          <w:b/>
          <w:color w:val="000000" w:themeColor="text1"/>
          <w:sz w:val="32"/>
          <w:szCs w:val="32"/>
          <w14:textFill>
            <w14:solidFill>
              <w14:schemeClr w14:val="tx1"/>
            </w14:solidFill>
          </w14:textFill>
        </w:rPr>
        <w:t>推进转化运用，促进知识产权市场价值实现</w:t>
      </w:r>
      <w:r>
        <w:rPr>
          <w:rFonts w:hint="eastAsia" w:ascii="Times New Roman" w:hAnsi="Times New Roman" w:eastAsia="楷体_GB2312"/>
          <w:b/>
          <w:color w:val="000000" w:themeColor="text1"/>
          <w:sz w:val="32"/>
          <w:szCs w:val="32"/>
          <w:lang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themeColor="text1"/>
          <w:sz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推动专利实施转化，专利实施新增项目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627</w:t>
      </w:r>
      <w:r>
        <w:rPr>
          <w:rFonts w:hint="eastAsia" w:ascii="仿宋_GB2312" w:hAnsi="仿宋_GB2312" w:eastAsia="仿宋_GB2312" w:cs="仿宋_GB2312"/>
          <w:color w:val="000000" w:themeColor="text1"/>
          <w:sz w:val="32"/>
          <w:szCs w:val="32"/>
          <w14:textFill>
            <w14:solidFill>
              <w14:schemeClr w14:val="tx1"/>
            </w14:solidFill>
          </w14:textFill>
        </w:rPr>
        <w:t>项，新增产值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208.1</w:t>
      </w:r>
      <w:r>
        <w:rPr>
          <w:rFonts w:hint="eastAsia" w:ascii="仿宋_GB2312" w:hAnsi="仿宋_GB2312" w:eastAsia="仿宋_GB2312" w:cs="仿宋_GB2312"/>
          <w:color w:val="000000" w:themeColor="text1"/>
          <w:sz w:val="32"/>
          <w:szCs w:val="32"/>
          <w14:textFill>
            <w14:solidFill>
              <w14:schemeClr w14:val="tx1"/>
            </w14:solidFill>
          </w14:textFill>
        </w:rPr>
        <w:t>亿元、利税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66.9</w:t>
      </w:r>
      <w:r>
        <w:rPr>
          <w:rFonts w:hint="eastAsia" w:ascii="仿宋_GB2312" w:hAnsi="仿宋_GB2312" w:eastAsia="仿宋_GB2312" w:cs="仿宋_GB2312"/>
          <w:color w:val="000000" w:themeColor="text1"/>
          <w:sz w:val="32"/>
          <w:szCs w:val="32"/>
          <w14:textFill>
            <w14:solidFill>
              <w14:schemeClr w14:val="tx1"/>
            </w14:solidFill>
          </w14:textFill>
        </w:rPr>
        <w:t>亿元。实施硅材料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全钒液流电池产业专利导航工程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知识产权联盟</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引领“中国绿色硅谷”创新发展</w:t>
      </w:r>
      <w:r>
        <w:rPr>
          <w:rFonts w:hint="eastAsia" w:ascii="仿宋_GB2312" w:hAnsi="仿宋_GB2312" w:eastAsia="仿宋_GB2312" w:cs="仿宋_GB2312"/>
          <w:color w:val="000000" w:themeColor="text1"/>
          <w:sz w:val="32"/>
          <w:szCs w:val="32"/>
          <w14:textFill>
            <w14:solidFill>
              <w14:schemeClr w14:val="tx1"/>
            </w14:solidFill>
          </w14:textFill>
        </w:rPr>
        <w:t>。知识产权金融深入推进，全市实现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质押金额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w:t>
      </w:r>
      <w:r>
        <w:rPr>
          <w:rFonts w:hint="eastAsia" w:ascii="仿宋_GB2312" w:hAnsi="仿宋_GB2312" w:eastAsia="仿宋_GB2312" w:cs="仿宋_GB2312"/>
          <w:color w:val="000000" w:themeColor="text1"/>
          <w:sz w:val="32"/>
          <w:szCs w:val="32"/>
          <w14:textFill>
            <w14:solidFill>
              <w14:schemeClr w14:val="tx1"/>
            </w14:solidFill>
          </w14:textFill>
        </w:rPr>
        <w:t>亿元，知识产权质押授信贷款3.26亿元。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b/>
          <w:color w:val="000000" w:themeColor="text1"/>
          <w:sz w:val="32"/>
          <w:szCs w:val="32"/>
          <w:lang w:eastAsia="zh-CN"/>
          <w14:textFill>
            <w14:solidFill>
              <w14:schemeClr w14:val="tx1"/>
            </w14:solidFill>
          </w14:textFill>
        </w:rPr>
      </w:pPr>
      <w:r>
        <w:rPr>
          <w:rFonts w:hint="eastAsia" w:ascii="Times New Roman" w:hAnsi="Times New Roman" w:eastAsia="楷体_GB2312"/>
          <w:b/>
          <w:color w:val="000000" w:themeColor="text1"/>
          <w:sz w:val="32"/>
          <w:szCs w:val="32"/>
          <w:lang w:eastAsia="zh-CN"/>
          <w14:textFill>
            <w14:solidFill>
              <w14:schemeClr w14:val="tx1"/>
            </w14:solidFill>
          </w14:textFill>
        </w:rPr>
        <w:t>（四）强化维权服务</w:t>
      </w:r>
      <w:r>
        <w:rPr>
          <w:rFonts w:hint="eastAsia" w:ascii="Times New Roman" w:hAnsi="Times New Roman" w:eastAsia="楷体_GB2312"/>
          <w:b/>
          <w:color w:val="000000" w:themeColor="text1"/>
          <w:sz w:val="32"/>
          <w:szCs w:val="32"/>
          <w14:textFill>
            <w14:solidFill>
              <w14:schemeClr w14:val="tx1"/>
            </w14:solidFill>
          </w14:textFill>
        </w:rPr>
        <w:t>，营造良好营商环境</w:t>
      </w:r>
      <w:r>
        <w:rPr>
          <w:rFonts w:hint="eastAsia" w:ascii="Times New Roman" w:hAnsi="Times New Roman" w:eastAsia="楷体_GB2312"/>
          <w:b/>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配合市局</w:t>
      </w:r>
      <w:r>
        <w:rPr>
          <w:rFonts w:hint="eastAsia" w:ascii="仿宋_GB2312" w:hAnsi="仿宋_GB2312" w:eastAsia="仿宋_GB2312" w:cs="仿宋_GB2312"/>
          <w:color w:val="000000" w:themeColor="text1"/>
          <w:sz w:val="32"/>
          <w14:textFill>
            <w14:solidFill>
              <w14:schemeClr w14:val="tx1"/>
            </w14:solidFill>
          </w14:textFill>
        </w:rPr>
        <w:t>推动跨区域知识产权行政执法协作，</w:t>
      </w:r>
      <w:r>
        <w:rPr>
          <w:rFonts w:hint="eastAsia" w:ascii="仿宋_GB2312" w:eastAsia="仿宋_GB2312"/>
          <w:color w:val="000000" w:themeColor="text1"/>
          <w:sz w:val="32"/>
          <w:szCs w:val="32"/>
          <w:lang w:eastAsia="zh-CN"/>
          <w14:textFill>
            <w14:solidFill>
              <w14:schemeClr w14:val="tx1"/>
            </w14:solidFill>
          </w14:textFill>
        </w:rPr>
        <w:t>与泸州、自贡、宜宾、内江签订川南五市知识产权保护战略合作协议。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贯彻落实《川渝知识产权合作协议》，与重庆市武隆区签订知</w:t>
      </w:r>
      <w:r>
        <w:rPr>
          <w:rFonts w:hint="eastAsia" w:ascii="仿宋_GB2312" w:eastAsia="仿宋_GB2312"/>
          <w:color w:val="000000" w:themeColor="text1"/>
          <w:sz w:val="32"/>
          <w:szCs w:val="32"/>
          <w:lang w:eastAsia="zh-CN"/>
          <w14:textFill>
            <w14:solidFill>
              <w14:schemeClr w14:val="tx1"/>
            </w14:solidFill>
          </w14:textFill>
        </w:rPr>
        <w:t>识产权保护战略合作协议。</w:t>
      </w:r>
      <w:r>
        <w:rPr>
          <w:rFonts w:hint="eastAsia" w:ascii="仿宋_GB2312" w:hAnsi="仿宋_GB2312" w:eastAsia="仿宋_GB2312" w:cs="仿宋_GB2312"/>
          <w:color w:val="000000" w:themeColor="text1"/>
          <w:sz w:val="32"/>
          <w14:textFill>
            <w14:solidFill>
              <w14:schemeClr w14:val="tx1"/>
            </w14:solidFill>
          </w14:textFill>
        </w:rPr>
        <w:t>创新思路，推进4家企业以市场化方式建立100万元资金规模的知识</w:t>
      </w:r>
      <w:r>
        <w:rPr>
          <w:rFonts w:hint="eastAsia" w:ascii="仿宋_GB2312" w:hAnsi="仿宋_GB2312" w:eastAsia="仿宋_GB2312" w:cs="仿宋_GB2312"/>
          <w:color w:val="000000" w:themeColor="text1"/>
          <w:sz w:val="32"/>
          <w:szCs w:val="32"/>
          <w14:textFill>
            <w14:solidFill>
              <w14:schemeClr w14:val="tx1"/>
            </w14:solidFill>
          </w14:textFill>
        </w:rPr>
        <w:t>产权保护维权互助基金。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加强非诉讼纠纷解决机构的建设，成立乐山市知识产权纠纷人民调解委员会、乐山国际商会（进出口商会）知识产权纠纷人民调解委员会，在四川永祥、福华农科等重点企业设立知识产权维权援助工作站11个，商业秘密保护示范点1个。参与处理专利纠纷案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46件，其中电商33件、行政调解5件、行政裁决8件；人民调解知识产权纠纷案件9件，其中商标侵权7件、著作权侵权2件。</w:t>
      </w:r>
      <w:r>
        <w:rPr>
          <w:rFonts w:hint="eastAsia" w:ascii="仿宋_GB2312" w:hAnsi="仿宋_GB2312" w:eastAsia="仿宋_GB2312" w:cs="仿宋_GB2312"/>
          <w:color w:val="000000" w:themeColor="text1"/>
          <w:sz w:val="32"/>
          <w14:textFill>
            <w14:solidFill>
              <w14:schemeClr w14:val="tx1"/>
            </w14:solidFill>
          </w14:textFill>
        </w:rPr>
        <w:t>进驻四川省文化和旅游发展大会开展大型展会知识产权保护。</w:t>
      </w:r>
      <w:r>
        <w:rPr>
          <w:rFonts w:hint="eastAsia" w:ascii="仿宋_GB2312" w:hAnsi="仿宋_GB2312" w:eastAsia="仿宋_GB2312" w:cs="仿宋_GB2312"/>
          <w:color w:val="000000" w:themeColor="text1"/>
          <w:sz w:val="32"/>
          <w:szCs w:val="32"/>
          <w14:textFill>
            <w14:solidFill>
              <w14:schemeClr w14:val="tx1"/>
            </w14:solidFill>
          </w14:textFill>
        </w:rPr>
        <w:t>2020年知识产权营商环境考评位居全省前列。2020年度国家知识产权行政保护工作绩效考核位居全国前列，受到国家局通报表扬。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color w:val="000000" w:themeColor="text1"/>
          <w:sz w:val="32"/>
          <w:szCs w:val="32"/>
          <w:lang w:eastAsia="zh-CN"/>
          <w14:textFill>
            <w14:solidFill>
              <w14:schemeClr w14:val="tx1"/>
            </w14:solidFill>
          </w14:textFill>
        </w:rPr>
      </w:pPr>
      <w:r>
        <w:rPr>
          <w:rFonts w:hint="eastAsia" w:ascii="Times New Roman" w:hAnsi="Times New Roman" w:eastAsia="楷体_GB2312"/>
          <w:b/>
          <w:color w:val="000000" w:themeColor="text1"/>
          <w:sz w:val="32"/>
          <w:szCs w:val="32"/>
          <w:lang w:eastAsia="zh-CN"/>
          <w14:textFill>
            <w14:solidFill>
              <w14:schemeClr w14:val="tx1"/>
            </w14:solidFill>
          </w14:textFill>
        </w:rPr>
        <w:t>（五</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）深化宣传培训，构建良好知识产权</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人文社会环境</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，协同市局</w:t>
      </w:r>
      <w:r>
        <w:rPr>
          <w:rFonts w:hint="eastAsia" w:ascii="仿宋_GB2312" w:hAnsi="仿宋_GB2312" w:eastAsia="仿宋_GB2312" w:cs="仿宋_GB2312"/>
          <w:color w:val="000000" w:themeColor="text1"/>
          <w:sz w:val="32"/>
          <w:szCs w:val="32"/>
          <w14:textFill>
            <w14:solidFill>
              <w14:schemeClr w14:val="tx1"/>
            </w14:solidFill>
          </w14:textFill>
        </w:rPr>
        <w:t>组织好“4·26”世界知识产权日、全国知识产权宣传周等系列宣传活动，开展知识产权“五进”及党员专家服务团送服务到基层活动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，营造“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尊重知识、崇尚创新、诚信守法、公平竞争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”的良好氛围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强化人才培养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协同市局</w:t>
      </w:r>
      <w:r>
        <w:rPr>
          <w:rFonts w:hint="eastAsia" w:ascii="仿宋_GB2312" w:hAnsi="仿宋_GB2312" w:eastAsia="仿宋_GB2312" w:cs="仿宋_GB2312"/>
          <w:color w:val="000000" w:themeColor="text1"/>
          <w:sz w:val="32"/>
          <w:szCs w:val="32"/>
          <w14:textFill>
            <w14:solidFill>
              <w14:schemeClr w14:val="tx1"/>
            </w14:solidFill>
          </w14:textFill>
        </w:rPr>
        <w:t>先后举办“乐山市知识产权协同保护业务培训”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、“知识产权赋能创新发展”</w:t>
      </w:r>
      <w:r>
        <w:rPr>
          <w:rFonts w:hint="eastAsia" w:ascii="仿宋_GB2312" w:hAnsi="仿宋_GB2312" w:eastAsia="仿宋_GB2312" w:cs="仿宋_GB2312"/>
          <w:color w:val="000000" w:themeColor="text1"/>
          <w:sz w:val="32"/>
          <w:szCs w:val="32"/>
          <w14:textFill>
            <w14:solidFill>
              <w14:schemeClr w14:val="tx1"/>
            </w14:solidFill>
          </w14:textFill>
        </w:rPr>
        <w:t>等系列培训班</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期，培训</w:t>
      </w:r>
      <w:r>
        <w:rPr>
          <w:rFonts w:ascii="仿宋_GB2312" w:hAnsi="仿宋_GB2312" w:eastAsia="仿宋_GB2312" w:cs="仿宋_GB2312"/>
          <w:color w:val="000000" w:themeColor="text1"/>
          <w:sz w:val="32"/>
          <w:szCs w:val="32"/>
          <w14:textFill>
            <w14:solidFill>
              <w14:schemeClr w14:val="tx1"/>
            </w14:solidFill>
          </w14:textFill>
        </w:rPr>
        <w:t>800</w:t>
      </w:r>
      <w:r>
        <w:rPr>
          <w:rFonts w:hint="eastAsia" w:ascii="仿宋_GB2312" w:hAnsi="仿宋_GB2312" w:eastAsia="仿宋_GB2312" w:cs="仿宋_GB2312"/>
          <w:color w:val="000000" w:themeColor="text1"/>
          <w:sz w:val="32"/>
          <w:szCs w:val="32"/>
          <w14:textFill>
            <w14:solidFill>
              <w14:schemeClr w14:val="tx1"/>
            </w14:solidFill>
          </w14:textFill>
        </w:rPr>
        <w:t>余人次，为高质量发展提供人才保障。</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今年中心知识产权工作虽然取得了一定成效，但仍存在知识产权专项经费投入相对不足，知识产权营运尚需建立完善相关政策措施；知识产权整体质量效益还不够高，高质量高价值知识产权偏少；知识产权非诉纠纷解决机构覆盖面较低，知识产权保护社会共治机制有待进一步健全等问题。这些问题亟需我们在下一步工作中争取省中心、市局更大的关心支持，采取更加有力举措加以解决。</w:t>
      </w:r>
    </w:p>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21" w:name="_Toc15377204"/>
      <w:bookmarkStart w:id="22" w:name="_Toc15396602"/>
      <w:bookmarkStart w:id="23" w:name="_Toc2423"/>
      <w:r>
        <w:rPr>
          <w:rFonts w:hint="eastAsia" w:ascii="黑体" w:hAnsi="黑体" w:eastAsia="黑体"/>
          <w:b w:val="0"/>
        </w:rPr>
        <w:t>第二部分 2021年度</w:t>
      </w:r>
      <w:r>
        <w:rPr>
          <w:rStyle w:val="27"/>
          <w:rFonts w:hint="eastAsia" w:ascii="黑体" w:hAnsi="黑体" w:eastAsia="黑体"/>
          <w:b w:val="0"/>
          <w:bCs/>
        </w:rPr>
        <w:t>单位决算情况说明</w:t>
      </w:r>
      <w:bookmarkEnd w:id="21"/>
      <w:bookmarkEnd w:id="22"/>
      <w:bookmarkEnd w:id="23"/>
    </w:p>
    <w:p/>
    <w:p>
      <w:pPr>
        <w:pStyle w:val="26"/>
        <w:numPr>
          <w:ilvl w:val="0"/>
          <w:numId w:val="2"/>
        </w:numPr>
        <w:spacing w:line="600" w:lineRule="exact"/>
        <w:ind w:firstLineChars="0"/>
        <w:outlineLvl w:val="1"/>
        <w:rPr>
          <w:rStyle w:val="28"/>
          <w:rFonts w:ascii="黑体" w:hAnsi="黑体" w:eastAsia="黑体"/>
          <w:b w:val="0"/>
        </w:rPr>
      </w:pPr>
      <w:bookmarkStart w:id="24" w:name="_Toc15377205"/>
      <w:bookmarkStart w:id="25" w:name="_Toc15396603"/>
      <w:bookmarkStart w:id="26" w:name="_Toc16471"/>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635.38</w:t>
      </w:r>
      <w:r>
        <w:rPr>
          <w:rFonts w:hint="eastAsia" w:ascii="仿宋" w:hAnsi="仿宋" w:eastAsia="仿宋"/>
          <w:sz w:val="32"/>
          <w:szCs w:val="32"/>
        </w:rPr>
        <w:t>万元。与2020年相比，收、支总计各增加</w:t>
      </w:r>
      <w:r>
        <w:rPr>
          <w:rFonts w:hint="eastAsia" w:ascii="仿宋" w:hAnsi="仿宋" w:eastAsia="仿宋"/>
          <w:sz w:val="32"/>
          <w:szCs w:val="32"/>
          <w:lang w:val="en-US" w:eastAsia="zh-CN"/>
        </w:rPr>
        <w:t>236.88</w:t>
      </w:r>
      <w:r>
        <w:rPr>
          <w:rFonts w:hint="eastAsia" w:ascii="仿宋" w:hAnsi="仿宋" w:eastAsia="仿宋"/>
          <w:sz w:val="32"/>
          <w:szCs w:val="32"/>
        </w:rPr>
        <w:t>万元，增长</w:t>
      </w:r>
      <w:r>
        <w:rPr>
          <w:rFonts w:hint="eastAsia" w:ascii="仿宋" w:hAnsi="仿宋" w:eastAsia="仿宋"/>
          <w:sz w:val="32"/>
          <w:szCs w:val="32"/>
          <w:lang w:val="en-US" w:eastAsia="zh-CN"/>
        </w:rPr>
        <w:t>59.44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一</w:t>
      </w:r>
      <w:r>
        <w:rPr>
          <w:rFonts w:hint="eastAsia" w:ascii="仿宋" w:hAnsi="仿宋" w:eastAsia="仿宋"/>
          <w:sz w:val="32"/>
          <w:szCs w:val="32"/>
        </w:rPr>
        <w:t>是</w:t>
      </w:r>
      <w:r>
        <w:rPr>
          <w:rFonts w:hint="eastAsia" w:ascii="仿宋" w:hAnsi="仿宋" w:eastAsia="仿宋"/>
          <w:sz w:val="32"/>
          <w:szCs w:val="32"/>
          <w:lang w:eastAsia="zh-CN"/>
        </w:rPr>
        <w:t>新增一名军转干部人员；二是</w:t>
      </w:r>
      <w:r>
        <w:rPr>
          <w:rFonts w:hint="eastAsia" w:ascii="仿宋" w:hAnsi="仿宋" w:eastAsia="仿宋"/>
          <w:sz w:val="32"/>
          <w:szCs w:val="32"/>
          <w:lang w:val="en-US" w:eastAsia="zh-CN"/>
        </w:rPr>
        <w:t>新增省级专项资金--知识产权赞助资金、知识产权专项资金。</w:t>
      </w:r>
    </w:p>
    <w:p>
      <w:pPr>
        <w:pStyle w:val="14"/>
        <w:rPr>
          <w:rFonts w:hint="eastAsia"/>
        </w:rPr>
      </w:pPr>
    </w:p>
    <w:p>
      <w:pPr>
        <w:pStyle w:val="14"/>
        <w:ind w:left="0" w:leftChars="0" w:firstLine="0" w:firstLineChars="0"/>
      </w:pPr>
      <w:r>
        <w:rPr>
          <w:rFonts w:hint="eastAsia"/>
          <w:lang w:val="en-US" w:eastAsia="zh-CN"/>
        </w:rPr>
        <w:t xml:space="preserve">  </w:t>
      </w:r>
      <w:r>
        <w:drawing>
          <wp:inline distT="0" distB="0" distL="114300" distR="114300">
            <wp:extent cx="4848225" cy="2743200"/>
            <wp:effectExtent l="4445" t="4445" r="5080" b="1460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4"/>
        <w:ind w:left="0" w:leftChars="0" w:firstLine="0" w:firstLineChars="0"/>
      </w:pPr>
    </w:p>
    <w:p>
      <w:pPr>
        <w:pStyle w:val="26"/>
        <w:numPr>
          <w:ilvl w:val="0"/>
          <w:numId w:val="2"/>
        </w:numPr>
        <w:spacing w:line="600" w:lineRule="exact"/>
        <w:ind w:firstLineChars="0"/>
        <w:outlineLvl w:val="1"/>
        <w:rPr>
          <w:rStyle w:val="28"/>
          <w:rFonts w:ascii="黑体" w:hAnsi="黑体" w:eastAsia="黑体"/>
          <w:b w:val="0"/>
        </w:rPr>
      </w:pPr>
      <w:bookmarkStart w:id="27" w:name="_Toc15377206"/>
      <w:bookmarkStart w:id="28" w:name="_Toc10820"/>
      <w:bookmarkStart w:id="29" w:name="_Toc15396604"/>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4901"/>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346.11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346.11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0"/>
    </w:p>
    <w:p>
      <w:pPr>
        <w:pStyle w:val="14"/>
        <w:rPr>
          <w:rFonts w:ascii="仿宋" w:hAnsi="仿宋" w:eastAsia="仿宋"/>
          <w:b/>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ind w:left="0" w:leftChars="0" w:firstLine="0" w:firstLineChars="0"/>
      </w:pPr>
    </w:p>
    <w:p>
      <w:pPr>
        <w:pStyle w:val="26"/>
        <w:numPr>
          <w:ilvl w:val="0"/>
          <w:numId w:val="2"/>
        </w:numPr>
        <w:spacing w:line="600" w:lineRule="exact"/>
        <w:ind w:firstLineChars="0"/>
        <w:outlineLvl w:val="1"/>
        <w:rPr>
          <w:rStyle w:val="28"/>
          <w:rFonts w:ascii="黑体" w:hAnsi="黑体" w:eastAsia="黑体"/>
          <w:b w:val="0"/>
        </w:rPr>
      </w:pPr>
      <w:bookmarkStart w:id="31" w:name="_Toc15513"/>
      <w:bookmarkStart w:id="32" w:name="_Toc15377207"/>
      <w:bookmarkStart w:id="33" w:name="_Toc15396605"/>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_GB2312" w:eastAsia="仿宋_GB2312"/>
          <w:sz w:val="32"/>
          <w:szCs w:val="32"/>
        </w:rPr>
      </w:pPr>
      <w:bookmarkStart w:id="34" w:name="_Toc19844"/>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289.27</w:t>
      </w:r>
      <w:r>
        <w:rPr>
          <w:rFonts w:hint="eastAsia" w:ascii="仿宋" w:hAnsi="仿宋" w:eastAsia="仿宋"/>
          <w:sz w:val="32"/>
          <w:szCs w:val="32"/>
        </w:rPr>
        <w:t>万元，其中：基本支出</w:t>
      </w:r>
      <w:r>
        <w:rPr>
          <w:rFonts w:hint="eastAsia" w:ascii="仿宋" w:hAnsi="仿宋" w:eastAsia="仿宋"/>
          <w:sz w:val="32"/>
          <w:szCs w:val="32"/>
          <w:lang w:val="en-US" w:eastAsia="zh-CN"/>
        </w:rPr>
        <w:t>200.52</w:t>
      </w:r>
      <w:r>
        <w:rPr>
          <w:rFonts w:hint="eastAsia" w:ascii="仿宋" w:hAnsi="仿宋" w:eastAsia="仿宋"/>
          <w:sz w:val="32"/>
          <w:szCs w:val="32"/>
        </w:rPr>
        <w:t>万元，占</w:t>
      </w:r>
      <w:r>
        <w:rPr>
          <w:rFonts w:hint="eastAsia" w:ascii="仿宋" w:hAnsi="仿宋" w:eastAsia="仿宋"/>
          <w:sz w:val="32"/>
          <w:szCs w:val="32"/>
          <w:lang w:val="en-US" w:eastAsia="zh-CN"/>
        </w:rPr>
        <w:t>69.32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88.75</w:t>
      </w:r>
      <w:r>
        <w:rPr>
          <w:rFonts w:hint="eastAsia" w:ascii="仿宋" w:hAnsi="仿宋" w:eastAsia="仿宋"/>
          <w:sz w:val="32"/>
          <w:szCs w:val="32"/>
        </w:rPr>
        <w:t>万元，占</w:t>
      </w:r>
      <w:r>
        <w:rPr>
          <w:rFonts w:hint="eastAsia" w:ascii="仿宋" w:hAnsi="仿宋" w:eastAsia="仿宋"/>
          <w:sz w:val="32"/>
          <w:szCs w:val="32"/>
          <w:lang w:val="en-US" w:eastAsia="zh-CN"/>
        </w:rPr>
        <w:t>30.68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4"/>
    </w:p>
    <w:p>
      <w:pPr>
        <w:pStyle w:val="14"/>
        <w:rPr>
          <w:rFonts w:ascii="仿宋_GB2312" w:eastAsia="仿宋_GB2312"/>
          <w:sz w:val="32"/>
          <w:szCs w:val="32"/>
        </w:rPr>
      </w:pPr>
      <w:r>
        <w:drawing>
          <wp:inline distT="0" distB="0" distL="114300" distR="114300">
            <wp:extent cx="4572000" cy="257175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rPr>
          <w:rFonts w:ascii="仿宋_GB2312" w:eastAsia="仿宋_GB2312"/>
          <w:sz w:val="32"/>
          <w:szCs w:val="32"/>
        </w:rPr>
      </w:pPr>
    </w:p>
    <w:p>
      <w:pPr>
        <w:pStyle w:val="14"/>
        <w:ind w:left="0" w:leftChars="0" w:firstLine="0" w:firstLineChars="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35" w:name="_Toc15377208"/>
      <w:bookmarkStart w:id="36" w:name="_Toc15396606"/>
      <w:bookmarkStart w:id="37" w:name="_Toc1597"/>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5"/>
      <w:bookmarkEnd w:id="36"/>
      <w:bookmarkEnd w:id="37"/>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635.38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236.88</w:t>
      </w:r>
      <w:r>
        <w:rPr>
          <w:rFonts w:hint="eastAsia" w:ascii="仿宋" w:hAnsi="仿宋" w:eastAsia="仿宋"/>
          <w:sz w:val="32"/>
          <w:szCs w:val="32"/>
        </w:rPr>
        <w:t>万元，增长</w:t>
      </w:r>
      <w:r>
        <w:rPr>
          <w:rFonts w:hint="eastAsia" w:ascii="仿宋" w:hAnsi="仿宋" w:eastAsia="仿宋"/>
          <w:sz w:val="32"/>
          <w:szCs w:val="32"/>
          <w:lang w:val="en-US" w:eastAsia="zh-CN"/>
        </w:rPr>
        <w:t>59.44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一新增一名军转干部人员；二是</w:t>
      </w:r>
      <w:r>
        <w:rPr>
          <w:rFonts w:hint="eastAsia" w:ascii="仿宋" w:hAnsi="仿宋" w:eastAsia="仿宋"/>
          <w:sz w:val="32"/>
          <w:szCs w:val="32"/>
          <w:lang w:val="en-US" w:eastAsia="zh-CN"/>
        </w:rPr>
        <w:t>新增省级专项资金--知识产权赞助资金、知识产权专项资金。</w:t>
      </w:r>
    </w:p>
    <w:p>
      <w:pPr>
        <w:pStyle w:val="14"/>
      </w:pPr>
    </w:p>
    <w:p>
      <w:pPr>
        <w:pStyle w:val="14"/>
      </w:pPr>
      <w:r>
        <w:drawing>
          <wp:inline distT="0" distB="0" distL="114300" distR="114300">
            <wp:extent cx="4848225" cy="2743200"/>
            <wp:effectExtent l="4445" t="4445" r="5080" b="14605"/>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pPr>
    </w:p>
    <w:p>
      <w:pPr>
        <w:spacing w:line="600" w:lineRule="exact"/>
        <w:ind w:firstLine="640" w:firstLineChars="200"/>
        <w:outlineLvl w:val="1"/>
        <w:rPr>
          <w:rStyle w:val="28"/>
          <w:rFonts w:ascii="黑体" w:hAnsi="黑体" w:eastAsia="黑体"/>
          <w:b w:val="0"/>
        </w:rPr>
      </w:pPr>
      <w:bookmarkStart w:id="38" w:name="_Toc15396607"/>
      <w:bookmarkStart w:id="39" w:name="_Toc15377209"/>
      <w:bookmarkStart w:id="40" w:name="_Toc23828"/>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hint="eastAsia" w:ascii="仿宋" w:hAnsi="仿宋" w:eastAsia="仿宋"/>
          <w:sz w:val="84"/>
          <w:szCs w:val="84"/>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289.27</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90.02</w:t>
      </w:r>
      <w:r>
        <w:rPr>
          <w:rFonts w:hint="eastAsia" w:ascii="仿宋" w:hAnsi="仿宋" w:eastAsia="仿宋"/>
          <w:sz w:val="32"/>
          <w:szCs w:val="32"/>
        </w:rPr>
        <w:t>万元，增长</w:t>
      </w:r>
      <w:r>
        <w:rPr>
          <w:rFonts w:hint="eastAsia" w:ascii="仿宋" w:hAnsi="仿宋" w:eastAsia="仿宋"/>
          <w:sz w:val="32"/>
          <w:szCs w:val="32"/>
          <w:lang w:val="en-US" w:eastAsia="zh-CN"/>
        </w:rPr>
        <w:t>45.18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2021年新增军转干部1人，因此人员经费、公用经费增加；2021年新增省级专项资金--知识产权赞助资金、知识产权专项资金，因此项目资金支出增加。</w:t>
      </w:r>
    </w:p>
    <w:p>
      <w:pPr>
        <w:pStyle w:val="14"/>
        <w:rPr>
          <w:rFonts w:ascii="仿宋" w:hAnsi="仿宋" w:eastAsia="仿宋"/>
          <w:sz w:val="32"/>
          <w:szCs w:val="32"/>
        </w:rPr>
      </w:pPr>
      <w:r>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289.27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250.98</w:t>
      </w:r>
      <w:r>
        <w:rPr>
          <w:rFonts w:hint="eastAsia" w:ascii="仿宋" w:hAnsi="仿宋" w:eastAsia="仿宋"/>
          <w:sz w:val="32"/>
          <w:szCs w:val="32"/>
        </w:rPr>
        <w:t>万元，占</w:t>
      </w:r>
      <w:r>
        <w:rPr>
          <w:rFonts w:hint="eastAsia" w:ascii="仿宋" w:hAnsi="仿宋" w:eastAsia="仿宋"/>
          <w:sz w:val="32"/>
          <w:szCs w:val="32"/>
          <w:lang w:val="en-US" w:eastAsia="zh-CN"/>
        </w:rPr>
        <w:t>86.77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21.62</w:t>
      </w:r>
      <w:r>
        <w:rPr>
          <w:rFonts w:hint="eastAsia" w:ascii="仿宋" w:hAnsi="仿宋" w:eastAsia="仿宋"/>
          <w:sz w:val="32"/>
          <w:szCs w:val="32"/>
        </w:rPr>
        <w:t>万元，占</w:t>
      </w:r>
      <w:r>
        <w:rPr>
          <w:rFonts w:hint="eastAsia" w:ascii="仿宋" w:hAnsi="仿宋" w:eastAsia="仿宋"/>
          <w:sz w:val="32"/>
          <w:szCs w:val="32"/>
          <w:lang w:val="en-US" w:eastAsia="zh-CN"/>
        </w:rPr>
        <w:t>7.47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3.85</w:t>
      </w:r>
      <w:r>
        <w:rPr>
          <w:rFonts w:hint="eastAsia" w:ascii="仿宋" w:hAnsi="仿宋" w:eastAsia="仿宋"/>
          <w:sz w:val="32"/>
          <w:szCs w:val="32"/>
        </w:rPr>
        <w:t>万元，占</w:t>
      </w:r>
      <w:r>
        <w:rPr>
          <w:rFonts w:hint="eastAsia" w:ascii="仿宋" w:hAnsi="仿宋" w:eastAsia="仿宋"/>
          <w:sz w:val="32"/>
          <w:szCs w:val="32"/>
          <w:lang w:val="en-US" w:eastAsia="zh-CN"/>
        </w:rPr>
        <w:t>1.33</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12.82</w:t>
      </w:r>
      <w:r>
        <w:rPr>
          <w:rFonts w:hint="eastAsia" w:ascii="仿宋" w:hAnsi="仿宋" w:eastAsia="仿宋"/>
          <w:sz w:val="32"/>
          <w:szCs w:val="32"/>
        </w:rPr>
        <w:t>万元，占</w:t>
      </w:r>
      <w:r>
        <w:rPr>
          <w:rFonts w:hint="eastAsia" w:ascii="仿宋" w:hAnsi="仿宋" w:eastAsia="仿宋"/>
          <w:sz w:val="32"/>
          <w:szCs w:val="32"/>
          <w:lang w:val="en-US" w:eastAsia="zh-CN"/>
        </w:rPr>
        <w:t>4.43</w:t>
      </w:r>
      <w:r>
        <w:rPr>
          <w:rFonts w:ascii="仿宋" w:hAnsi="仿宋" w:eastAsia="仿宋"/>
          <w:sz w:val="32"/>
          <w:szCs w:val="32"/>
        </w:rPr>
        <w:t>%</w:t>
      </w:r>
      <w:r>
        <w:rPr>
          <w:rFonts w:hint="eastAsia" w:ascii="仿宋" w:hAnsi="仿宋" w:eastAsia="仿宋"/>
          <w:sz w:val="32"/>
          <w:szCs w:val="32"/>
        </w:rPr>
        <w:t>。</w:t>
      </w:r>
    </w:p>
    <w:p>
      <w:pPr>
        <w:pStyle w:val="14"/>
        <w:rPr>
          <w:rFonts w:hint="eastAsia" w:ascii="仿宋" w:hAnsi="仿宋" w:eastAsia="仿宋"/>
          <w:sz w:val="32"/>
          <w:szCs w:val="32"/>
        </w:rPr>
      </w:pPr>
    </w:p>
    <w:p>
      <w:pPr>
        <w:pStyle w:val="14"/>
        <w:rPr>
          <w:rFonts w:ascii="仿宋" w:hAnsi="仿宋" w:eastAsia="仿宋"/>
          <w:sz w:val="32"/>
          <w:szCs w:val="32"/>
        </w:rPr>
      </w:pPr>
      <w:r>
        <w:drawing>
          <wp:inline distT="0" distB="0" distL="114300" distR="114300">
            <wp:extent cx="4572000" cy="2743200"/>
            <wp:effectExtent l="4445" t="4445" r="14605"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outlineLvl w:val="2"/>
        <w:rPr>
          <w:rFonts w:ascii="仿宋" w:hAnsi="仿宋" w:eastAsia="仿宋"/>
          <w:sz w:val="32"/>
          <w:szCs w:val="32"/>
        </w:rPr>
      </w:pPr>
      <w:bookmarkStart w:id="44" w:name="_Toc15377444"/>
      <w:bookmarkStart w:id="45" w:name="_Toc15377213"/>
      <w:bookmarkStart w:id="46" w:name="_Toc15378460"/>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289.27万元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4"/>
      <w:bookmarkEnd w:id="45"/>
      <w:bookmarkEnd w:id="46"/>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hint="eastAsia" w:ascii="仿宋" w:hAnsi="仿宋" w:eastAsia="仿宋"/>
          <w:bCs/>
          <w:sz w:val="32"/>
          <w:szCs w:val="32"/>
          <w:lang w:eastAsia="zh-CN"/>
        </w:rPr>
        <w:t>知识产权事务</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行政运行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166.91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一般公共服务（类）</w:t>
      </w:r>
      <w:r>
        <w:rPr>
          <w:rStyle w:val="17"/>
          <w:rFonts w:hint="eastAsia" w:ascii="仿宋" w:hAnsi="仿宋" w:eastAsia="仿宋"/>
          <w:bCs/>
          <w:sz w:val="32"/>
          <w:szCs w:val="32"/>
          <w:lang w:eastAsia="zh-CN"/>
        </w:rPr>
        <w:t>知识产权事务</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其他知识产权事务支出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84.06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教育（类）</w:t>
      </w:r>
      <w:r>
        <w:rPr>
          <w:rStyle w:val="17"/>
          <w:rFonts w:hint="eastAsia" w:ascii="仿宋" w:hAnsi="仿宋" w:eastAsia="仿宋"/>
          <w:bCs/>
          <w:sz w:val="32"/>
          <w:szCs w:val="32"/>
          <w:lang w:val="en-US" w:eastAsia="zh-CN"/>
        </w:rPr>
        <w:t>0</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0</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科学技术（类）</w:t>
      </w:r>
      <w:r>
        <w:rPr>
          <w:rStyle w:val="17"/>
          <w:rFonts w:hint="eastAsia" w:ascii="仿宋" w:hAnsi="仿宋" w:eastAsia="仿宋"/>
          <w:bCs/>
          <w:sz w:val="32"/>
          <w:szCs w:val="32"/>
          <w:lang w:val="en-US" w:eastAsia="zh-CN"/>
        </w:rPr>
        <w:t>0</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0</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文化旅游体育与传媒（类）</w:t>
      </w:r>
      <w:r>
        <w:rPr>
          <w:rStyle w:val="17"/>
          <w:rFonts w:hint="eastAsia" w:ascii="仿宋" w:hAnsi="仿宋" w:eastAsia="仿宋"/>
          <w:bCs/>
          <w:sz w:val="32"/>
          <w:szCs w:val="32"/>
          <w:lang w:val="en-US" w:eastAsia="zh-CN"/>
        </w:rPr>
        <w:t>0</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0</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hint="eastAsia" w:ascii="仿宋" w:hAnsi="仿宋" w:eastAsia="仿宋"/>
          <w:b/>
          <w:sz w:val="32"/>
          <w:szCs w:val="32"/>
          <w:lang w:val="en-US" w:eastAsia="zh-CN"/>
        </w:rPr>
      </w:pPr>
      <w:r>
        <w:rPr>
          <w:rStyle w:val="17"/>
          <w:rFonts w:ascii="仿宋" w:hAnsi="仿宋" w:eastAsia="仿宋"/>
          <w:bCs/>
          <w:sz w:val="32"/>
          <w:szCs w:val="32"/>
        </w:rPr>
        <w:t>5.</w:t>
      </w:r>
      <w:r>
        <w:rPr>
          <w:rStyle w:val="17"/>
          <w:rFonts w:hint="eastAsia" w:ascii="仿宋" w:hAnsi="仿宋" w:eastAsia="仿宋"/>
          <w:bCs/>
          <w:sz w:val="32"/>
          <w:szCs w:val="32"/>
        </w:rPr>
        <w:t>社会保障和就业（类）行政事业单位养老支出（款） 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社会保障和就业（类）行政事业单位养老支出（款）机关事业单位职业年金缴费支出（项）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社会保障和就业（类）行政事业单位养老支出（款） 其他行政事业单位养老支出（项）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0.44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社会保障和就业（类）其他社会保障和就业支出（款）其他社会保障和就业支出（项）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4.68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6.</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3.85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hint="eastAsia" w:ascii="仿宋" w:hAnsi="仿宋" w:eastAsia="仿宋"/>
          <w:b w:val="0"/>
          <w:bCs/>
          <w:sz w:val="32"/>
          <w:szCs w:val="32"/>
        </w:rPr>
      </w:pPr>
      <w:r>
        <w:rPr>
          <w:rFonts w:hint="eastAsia" w:ascii="仿宋" w:hAnsi="仿宋" w:eastAsia="仿宋"/>
          <w:b/>
          <w:bCs/>
          <w:sz w:val="32"/>
          <w:szCs w:val="32"/>
          <w:lang w:val="en-US" w:eastAsia="zh-CN"/>
        </w:rPr>
        <w:t>7.住房保障</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12.83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14"/>
      </w:pPr>
    </w:p>
    <w:p>
      <w:pPr>
        <w:tabs>
          <w:tab w:val="right" w:pos="8306"/>
        </w:tabs>
        <w:spacing w:line="600" w:lineRule="exact"/>
        <w:ind w:firstLine="640"/>
        <w:outlineLvl w:val="1"/>
        <w:rPr>
          <w:rStyle w:val="28"/>
        </w:rPr>
      </w:pPr>
      <w:bookmarkStart w:id="47" w:name="_Toc15377214"/>
      <w:bookmarkStart w:id="48" w:name="_Toc19259"/>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7"/>
      <w:bookmarkEnd w:id="48"/>
      <w:bookmarkEnd w:id="49"/>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200.52</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164.87</w:t>
      </w:r>
      <w:r>
        <w:rPr>
          <w:rFonts w:hint="eastAsia" w:ascii="仿宋" w:hAnsi="仿宋" w:eastAsia="仿宋"/>
          <w:sz w:val="32"/>
          <w:szCs w:val="32"/>
        </w:rPr>
        <w:t>万元，主要包括：基本工资、津贴补贴、奖金、绩效工资、机关事业单位基本养老保险缴费、职业年金缴费、其他社会保障缴费、其他工资福利支出、奖励金、住房公积金、其他对个人和家庭的补助支出等。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35.65</w:t>
      </w:r>
      <w:r>
        <w:rPr>
          <w:rFonts w:hint="eastAsia" w:ascii="仿宋" w:hAnsi="仿宋" w:eastAsia="仿宋"/>
          <w:sz w:val="32"/>
          <w:szCs w:val="32"/>
        </w:rPr>
        <w:t>万元，主要包括：办公费、印刷费、水费、电费、邮电费、物业管理费、差旅费、公务接待费、劳务费、委托业务费、工会经费、福利费、其他交通费、其他商品和服务支出等。</w:t>
      </w:r>
    </w:p>
    <w:p>
      <w:pPr>
        <w:spacing w:line="600" w:lineRule="exact"/>
        <w:ind w:firstLine="640"/>
        <w:outlineLvl w:val="1"/>
        <w:rPr>
          <w:rStyle w:val="28"/>
          <w:rFonts w:ascii="黑体" w:hAnsi="黑体" w:eastAsia="黑体"/>
          <w:b w:val="0"/>
        </w:rPr>
      </w:pPr>
      <w:bookmarkStart w:id="50" w:name="_Toc15377215"/>
      <w:bookmarkStart w:id="51" w:name="_Toc15396609"/>
      <w:bookmarkStart w:id="52" w:name="_Toc1971"/>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0.47</w:t>
      </w:r>
      <w:r>
        <w:rPr>
          <w:rFonts w:hint="eastAsia" w:ascii="仿宋" w:hAnsi="仿宋" w:eastAsia="仿宋"/>
          <w:sz w:val="32"/>
          <w:szCs w:val="32"/>
        </w:rPr>
        <w:t>万元，完成预算</w:t>
      </w:r>
      <w:r>
        <w:rPr>
          <w:rFonts w:hint="eastAsia" w:ascii="仿宋" w:hAnsi="仿宋" w:eastAsia="仿宋"/>
          <w:sz w:val="32"/>
          <w:szCs w:val="32"/>
          <w:lang w:val="en-US" w:eastAsia="zh-CN"/>
        </w:rPr>
        <w:t>78.33</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 w:hAnsi="仿宋" w:eastAsia="仿宋"/>
          <w:color w:val="000000"/>
          <w:sz w:val="32"/>
          <w:szCs w:val="32"/>
          <w:lang w:eastAsia="zh-CN"/>
        </w:rPr>
        <w:t>厉行勤俭节约，从严控制三公经费开支</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0.47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14"/>
      </w:pPr>
      <w:r>
        <w:drawing>
          <wp:inline distT="0" distB="0" distL="114300" distR="114300">
            <wp:extent cx="4572000" cy="2571750"/>
            <wp:effectExtent l="4445" t="4445" r="14605" b="1460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4"/>
        <w:ind w:left="0" w:leftChars="0" w:firstLine="0" w:firstLineChars="0"/>
      </w:pPr>
    </w:p>
    <w:p>
      <w:pPr>
        <w:pStyle w:val="14"/>
        <w:ind w:left="0" w:leftChars="0" w:firstLine="0" w:firstLineChars="0"/>
        <w:rPr>
          <w:rFonts w:hint="eastAsia" w:ascii="仿宋" w:hAnsi="仿宋" w:eastAsia="仿宋"/>
          <w:sz w:val="32"/>
          <w:szCs w:val="32"/>
        </w:rPr>
      </w:pPr>
      <w:r>
        <w:rPr>
          <w:rFonts w:hint="eastAsia"/>
          <w:lang w:val="en-US" w:eastAsia="zh-CN"/>
        </w:rPr>
        <w:t xml:space="preserve">   </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0.47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78.3</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hint="default" w:ascii="仿宋_GB2312" w:eastAsia="仿宋_GB2312"/>
          <w:sz w:val="32"/>
          <w:szCs w:val="32"/>
          <w:highlight w:val="none"/>
          <w:lang w:val="en-US" w:eastAsia="zh-CN"/>
        </w:rPr>
      </w:pPr>
      <w:r>
        <w:rPr>
          <w:rFonts w:hint="eastAsia" w:ascii="仿宋" w:hAnsi="仿宋" w:eastAsia="仿宋"/>
          <w:b/>
          <w:sz w:val="32"/>
          <w:szCs w:val="32"/>
          <w:highlight w:val="none"/>
        </w:rPr>
        <w:t>国内公务接待支出</w:t>
      </w:r>
      <w:r>
        <w:rPr>
          <w:rFonts w:hint="eastAsia" w:ascii="仿宋" w:hAnsi="仿宋" w:eastAsia="仿宋"/>
          <w:sz w:val="32"/>
          <w:szCs w:val="32"/>
          <w:highlight w:val="none"/>
          <w:lang w:val="en-US" w:eastAsia="zh-CN"/>
        </w:rPr>
        <w:t>0.47</w:t>
      </w:r>
      <w:r>
        <w:rPr>
          <w:rFonts w:hint="eastAsia" w:ascii="仿宋_GB2312" w:eastAsia="仿宋_GB2312"/>
          <w:sz w:val="32"/>
          <w:szCs w:val="32"/>
          <w:highlight w:val="none"/>
        </w:rPr>
        <w:t>万元，主要用于</w:t>
      </w:r>
      <w:r>
        <w:rPr>
          <w:rFonts w:hint="eastAsia" w:ascii="仿宋_GB2312" w:eastAsia="仿宋_GB2312"/>
          <w:sz w:val="32"/>
          <w:szCs w:val="32"/>
          <w:highlight w:val="none"/>
          <w:lang w:eastAsia="zh-CN"/>
        </w:rPr>
        <w:t>公务接待用餐费</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39</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0.47</w:t>
      </w:r>
      <w:r>
        <w:rPr>
          <w:rFonts w:hint="eastAsia" w:ascii="仿宋_GB2312" w:eastAsia="仿宋_GB2312"/>
          <w:sz w:val="32"/>
          <w:szCs w:val="32"/>
          <w:highlight w:val="none"/>
        </w:rPr>
        <w:t>万元，具体内容包括：</w:t>
      </w:r>
      <w:r>
        <w:rPr>
          <w:rFonts w:hint="eastAsia" w:ascii="仿宋_GB2312" w:eastAsia="仿宋_GB2312"/>
          <w:sz w:val="32"/>
          <w:szCs w:val="32"/>
          <w:highlight w:val="none"/>
          <w:lang w:val="en-US" w:eastAsia="zh-CN"/>
        </w:rPr>
        <w:t>1.2020年12月27日，接待四川省市场监管局专利处来乐开展指导专利执法工作，接待人数5人，金额749元</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2.2021年4月15日，接待乐山市“十四五”知识产权规划编制人员，接待人数4人，金额269元。3.2021年4月27日，接待省知识产权服务中心来乐调研创新主体对数据库的使用需求工作，接待人数7人，金额860元。4.2021年9月10日，接待省知识产权服务中心来乐调研数据库对专利数据信息利用的支撑作用，接待人数5人，金额745元。5.2021年3月10日，接待省知识产权服务中心来乐调研知识产权公共服务能力，接待人数6人，金额790元。6.2021年5月17日至5月18日，省知识产权服务促进中心来了调研知识产权工作，接待人数6人，金额920元。7.2021年12月30日，接待省知识产权服务中心来乐调研知识产权公共服务能力，接待人数6人，金额420元。</w:t>
      </w:r>
    </w:p>
    <w:p>
      <w:pPr>
        <w:spacing w:line="600" w:lineRule="exact"/>
        <w:ind w:firstLine="643" w:firstLineChars="200"/>
        <w:rPr>
          <w:rFonts w:hint="eastAsia" w:ascii="仿宋_GB2312" w:eastAsia="仿宋_GB2312"/>
          <w:sz w:val="32"/>
          <w:szCs w:val="32"/>
          <w:highlight w:val="none"/>
          <w:lang w:eastAsia="zh-CN"/>
        </w:rPr>
      </w:pPr>
      <w:r>
        <w:rPr>
          <w:rFonts w:hint="eastAsia" w:ascii="仿宋" w:hAnsi="仿宋" w:eastAsia="仿宋"/>
          <w:b/>
          <w:sz w:val="32"/>
          <w:szCs w:val="32"/>
          <w:highlight w:val="none"/>
        </w:rPr>
        <w:t>外事接待支出</w:t>
      </w:r>
      <w:r>
        <w:rPr>
          <w:rFonts w:hint="eastAsia" w:ascii="仿宋" w:hAnsi="仿宋" w:eastAsia="仿宋"/>
          <w:sz w:val="32"/>
          <w:szCs w:val="32"/>
          <w:highlight w:val="none"/>
          <w:lang w:val="en-US" w:eastAsia="zh-CN"/>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spacing w:line="600" w:lineRule="exact"/>
        <w:ind w:firstLine="640"/>
        <w:outlineLvl w:val="9"/>
        <w:rPr>
          <w:rFonts w:ascii="黑体" w:eastAsia="黑体"/>
          <w:sz w:val="32"/>
          <w:szCs w:val="32"/>
        </w:rPr>
      </w:pPr>
      <w:bookmarkStart w:id="55" w:name="_Toc15396610"/>
      <w:bookmarkStart w:id="56" w:name="_Toc15377218"/>
    </w:p>
    <w:p>
      <w:pPr>
        <w:spacing w:line="600" w:lineRule="exact"/>
        <w:ind w:firstLine="640"/>
        <w:outlineLvl w:val="1"/>
        <w:rPr>
          <w:rStyle w:val="28"/>
          <w:rFonts w:ascii="黑体" w:hAnsi="黑体" w:eastAsia="黑体"/>
        </w:rPr>
      </w:pPr>
      <w:bookmarkStart w:id="57" w:name="_Toc24752"/>
      <w:r>
        <w:rPr>
          <w:rFonts w:hint="eastAsia" w:ascii="黑体" w:eastAsia="黑体"/>
          <w:sz w:val="32"/>
          <w:szCs w:val="32"/>
        </w:rPr>
        <w:t>八、</w:t>
      </w:r>
      <w:r>
        <w:rPr>
          <w:rStyle w:val="28"/>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58" w:name="_Toc15396611"/>
      <w:bookmarkStart w:id="59" w:name="_Toc255"/>
      <w:bookmarkStart w:id="60" w:name="_Toc15377219"/>
      <w:r>
        <w:rPr>
          <w:rStyle w:val="28"/>
          <w:rFonts w:hint="eastAsia" w:ascii="黑体" w:hAnsi="黑体" w:eastAsia="黑体"/>
          <w:b w:val="0"/>
        </w:rPr>
        <w:t>国有资本经营预算支出决算情况说明</w:t>
      </w:r>
      <w:bookmarkEnd w:id="58"/>
      <w:bookmarkEnd w:id="59"/>
      <w:bookmarkEnd w:id="6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61" w:name="_Toc15377221"/>
      <w:bookmarkStart w:id="62" w:name="_Toc23276"/>
      <w:bookmarkStart w:id="63" w:name="_Toc15396612"/>
      <w:r>
        <w:rPr>
          <w:rStyle w:val="28"/>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乐山市知识产权促进中心</w:t>
      </w:r>
      <w:r>
        <w:rPr>
          <w:rFonts w:hint="eastAsia" w:ascii="仿宋_GB2312" w:eastAsia="仿宋_GB2312"/>
          <w:sz w:val="32"/>
          <w:szCs w:val="32"/>
        </w:rPr>
        <w:t>机关运行经费支出</w:t>
      </w:r>
      <w:r>
        <w:rPr>
          <w:rFonts w:hint="eastAsia" w:ascii="仿宋_GB2312" w:eastAsia="仿宋_GB2312"/>
          <w:sz w:val="32"/>
          <w:szCs w:val="32"/>
          <w:lang w:val="en-US" w:eastAsia="zh-CN"/>
        </w:rPr>
        <w:t>35.6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21.78</w:t>
      </w:r>
      <w:r>
        <w:rPr>
          <w:rFonts w:hint="eastAsia" w:ascii="仿宋_GB2312" w:eastAsia="仿宋_GB2312"/>
          <w:sz w:val="32"/>
          <w:szCs w:val="32"/>
        </w:rPr>
        <w:t>万元，增长</w:t>
      </w:r>
      <w:r>
        <w:rPr>
          <w:rFonts w:hint="eastAsia" w:ascii="仿宋_GB2312" w:eastAsia="仿宋_GB2312"/>
          <w:sz w:val="32"/>
          <w:szCs w:val="32"/>
          <w:lang w:val="en-US" w:eastAsia="zh-CN"/>
        </w:rPr>
        <w:t>156.99</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w:t>
      </w:r>
      <w:r>
        <w:rPr>
          <w:rFonts w:hint="eastAsia" w:ascii="仿宋_GB2312" w:eastAsia="仿宋_GB2312"/>
          <w:sz w:val="32"/>
          <w:szCs w:val="32"/>
          <w:lang w:val="en-US" w:eastAsia="zh-CN"/>
        </w:rPr>
        <w:t>2021年新增</w:t>
      </w:r>
      <w:r>
        <w:rPr>
          <w:rFonts w:hint="eastAsia" w:ascii="仿宋" w:hAnsi="仿宋" w:eastAsia="仿宋"/>
          <w:sz w:val="32"/>
          <w:szCs w:val="32"/>
          <w:lang w:val="en-US" w:eastAsia="zh-CN"/>
        </w:rPr>
        <w:t>军转干部1人，办公费、委托业务费、劳务费等经费增加。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乐山市知识产权服务促进中心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乐山市知识产权服务促进中心</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w:t>
      </w:r>
      <w:r>
        <w:rPr>
          <w:rFonts w:hint="eastAsia" w:ascii="仿宋_GB2312" w:hAnsi="仿宋_GB2312" w:eastAsia="仿宋_GB2312" w:cs="仿宋_GB2312"/>
          <w:color w:val="FF0000"/>
          <w:sz w:val="32"/>
          <w:szCs w:val="32"/>
        </w:rPr>
        <w:t>组织对2020年第一批省级知识产权专项资金项目等</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个项目开展了预算事前绩效评估，</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67" w:name="_Toc9865"/>
      <w:bookmarkStart w:id="68" w:name="_Toc15377225"/>
      <w:bookmarkStart w:id="69" w:name="_Toc15396613"/>
      <w:r>
        <w:rPr>
          <w:rFonts w:hint="eastAsia" w:ascii="黑体" w:hAnsi="黑体" w:eastAsia="黑体"/>
          <w:sz w:val="44"/>
          <w:szCs w:val="44"/>
        </w:rPr>
        <w:t>名</w:t>
      </w:r>
      <w:r>
        <w:rPr>
          <w:rStyle w:val="27"/>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color w:val="000000"/>
          <w:sz w:val="32"/>
          <w:szCs w:val="32"/>
        </w:rPr>
        <w:t>一般公共服务（类）知识产权事务（款）行政运行（项）：指本单位的基本支出。一般公共服务（类）知识产权事务（款）  其他知识产权事务支出（项）：指项目以外其他用于知识产权事务方面的支出。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color w:val="000000"/>
          <w:sz w:val="32"/>
          <w:szCs w:val="32"/>
        </w:rPr>
        <w:t>社会保障和就业（类）行政事业单位离退休（款） 归口管理的行政单位离退休（项）指反映实行归口管理的行政单位（包括实行公务员管理的事业单位）开支的离退休经费。社会保障和就业（类）行政事业单位离退休（款）未归口管理的行政单位离退休（项）未实行归口管理的行政单位（包括实行公务员管理的事业单位）开支的离退休经费。社会保障和就业（类）行政事业单位离退休（款）</w:t>
      </w:r>
      <w:r>
        <w:rPr>
          <w:rFonts w:ascii="仿宋_GB2312" w:eastAsia="仿宋_GB2312"/>
          <w:color w:val="000000"/>
          <w:sz w:val="32"/>
          <w:szCs w:val="32"/>
        </w:rPr>
        <w:t xml:space="preserve"> </w:t>
      </w:r>
      <w:r>
        <w:rPr>
          <w:rFonts w:hint="eastAsia" w:ascii="仿宋_GB2312" w:eastAsia="仿宋_GB2312"/>
          <w:color w:val="000000"/>
          <w:sz w:val="32"/>
          <w:szCs w:val="32"/>
        </w:rPr>
        <w:t>机关事业单位基本养老保险缴费支出（项）指单位实施养老保险制度由单位缴纳的基本养老保险费支出。社会保障和就业（类）行政事业单位离退休（款）机关事业单位职业年金缴费支出（项）指</w:t>
      </w:r>
      <w:r>
        <w:rPr>
          <w:rFonts w:ascii="仿宋_GB2312" w:eastAsia="仿宋_GB2312"/>
          <w:color w:val="000000"/>
          <w:sz w:val="32"/>
          <w:szCs w:val="32"/>
        </w:rPr>
        <w:t>:</w:t>
      </w:r>
      <w:r>
        <w:rPr>
          <w:rFonts w:hint="eastAsia" w:ascii="仿宋_GB2312" w:eastAsia="仿宋_GB2312"/>
          <w:color w:val="000000"/>
          <w:sz w:val="32"/>
          <w:szCs w:val="32"/>
        </w:rPr>
        <w:t>机关事业单位实施养老保险制度由单位实际缴纳的职业年金支出。</w:t>
      </w:r>
    </w:p>
    <w:p>
      <w:pPr>
        <w:ind w:firstLine="640" w:firstLineChars="200"/>
        <w:rPr>
          <w:rFonts w:hint="eastAsia" w:ascii="仿宋_GB2312" w:eastAsia="仿宋_GB2312"/>
          <w:b/>
          <w:bCs/>
          <w:sz w:val="32"/>
          <w:szCs w:val="32"/>
          <w:lang w:eastAsia="zh-CN"/>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w:t>
      </w:r>
      <w:r>
        <w:rPr>
          <w:rFonts w:hint="eastAsia" w:ascii="仿宋_GB2312" w:eastAsia="仿宋_GB2312"/>
          <w:color w:val="000000"/>
          <w:sz w:val="32"/>
          <w:szCs w:val="32"/>
        </w:rPr>
        <w:t>财政部门集中安排的行政单位基本医疗保险缴费。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color w:val="000000"/>
          <w:sz w:val="32"/>
          <w:szCs w:val="32"/>
        </w:rPr>
        <w:t>住房保障支出（类）住房改革支出（款）住房公积金（项）指单位按人力资源和社会保障部、财政部规定的基本工资和津贴以及按规定比例为职工缴纳的住房公积金。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7"/>
          <w:rFonts w:ascii="黑体" w:hAnsi="黑体" w:eastAsia="黑体"/>
          <w:b w:val="0"/>
        </w:rPr>
      </w:pPr>
      <w:bookmarkStart w:id="70" w:name="_Toc15377226"/>
      <w:r>
        <w:rPr>
          <w:rFonts w:ascii="宋体"/>
          <w:b/>
          <w:sz w:val="44"/>
          <w:szCs w:val="44"/>
        </w:rPr>
        <w:br w:type="page"/>
      </w:r>
      <w:bookmarkStart w:id="71" w:name="_Toc15396614"/>
      <w:bookmarkStart w:id="72" w:name="_Toc22969"/>
      <w:r>
        <w:rPr>
          <w:rFonts w:hint="eastAsia" w:ascii="黑体" w:hAnsi="黑体" w:eastAsia="黑体"/>
          <w:sz w:val="44"/>
          <w:szCs w:val="44"/>
        </w:rPr>
        <w:t>第</w:t>
      </w:r>
      <w:r>
        <w:rPr>
          <w:rStyle w:val="27"/>
          <w:rFonts w:hint="eastAsia" w:ascii="黑体" w:hAnsi="黑体" w:eastAsia="黑体"/>
          <w:b w:val="0"/>
        </w:rPr>
        <w:t>四部分 附件</w:t>
      </w:r>
      <w:bookmarkEnd w:id="71"/>
      <w:bookmarkEnd w:id="72"/>
    </w:p>
    <w:tbl>
      <w:tblPr>
        <w:tblStyle w:val="15"/>
        <w:tblpPr w:leftFromText="180" w:rightFromText="180" w:vertAnchor="text" w:horzAnchor="page" w:tblpX="1283" w:tblpY="753"/>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73" w:name="_Toc22403"/>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乐山市市场监管局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96"/>
              </w:tabs>
              <w:spacing w:line="320" w:lineRule="exact"/>
              <w:jc w:val="left"/>
              <w:textAlignment w:val="center"/>
              <w:rPr>
                <w:rFonts w:hint="eastAsia" w:ascii="宋体" w:hAnsi="宋体" w:eastAsia="宋体" w:cs="宋体"/>
                <w:sz w:val="24"/>
                <w:lang w:eastAsia="zh-CN"/>
              </w:rPr>
            </w:pPr>
            <w:r>
              <w:rPr>
                <w:rFonts w:hint="eastAsia" w:ascii="宋体" w:hAnsi="宋体" w:cs="宋体"/>
                <w:sz w:val="24"/>
                <w:lang w:eastAsia="zh-CN"/>
              </w:rPr>
              <w:t>乐山市知识产权服务促进中心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1"/>
                <w:szCs w:val="21"/>
              </w:rPr>
              <w:t>为推动我市专利实施与产业化，建立专利转化运用激励机制，促进专利技术实施转化和运用。1.促进专利质量进一步提升；2.促进专利技术实施运用转化率提升；3.促进区域知识产权创造能力提高；4.营造良好知识产权营商环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r>
              <w:rPr>
                <w:rFonts w:hint="eastAsia"/>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有效专利拥有量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专利项目实施转化率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专利实施项目新增利税年增长率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不低于全市GDP增长率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区域知识产权创造能力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进一步提升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bl>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bookmarkEnd w:id="73"/>
    </w:p>
    <w:tbl>
      <w:tblPr>
        <w:tblStyle w:val="15"/>
        <w:tblpPr w:leftFromText="180" w:rightFromText="180" w:vertAnchor="text" w:horzAnchor="page" w:tblpX="1283" w:tblpY="753"/>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74" w:name="_Toc15396618"/>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乐山市市场监管局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96"/>
              </w:tabs>
              <w:spacing w:line="320" w:lineRule="exact"/>
              <w:jc w:val="left"/>
              <w:textAlignment w:val="center"/>
              <w:rPr>
                <w:rFonts w:hint="eastAsia" w:ascii="宋体" w:hAnsi="宋体" w:eastAsia="宋体" w:cs="宋体"/>
                <w:sz w:val="24"/>
                <w:lang w:eastAsia="zh-CN"/>
              </w:rPr>
            </w:pPr>
            <w:r>
              <w:rPr>
                <w:rFonts w:hint="eastAsia" w:ascii="宋体" w:hAnsi="宋体" w:cs="宋体"/>
                <w:sz w:val="24"/>
                <w:lang w:eastAsia="zh-CN"/>
              </w:rPr>
              <w:t>乐山市知识产权服务促进中心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71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64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71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64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1.知识产权创造质量、运用效益、保护效果、管理水平和服务能力进一步增强。2.知识产权试点示范工作年度考核复核通过率达95%以上。3.知识产权营商环境良好。4.新增一批国家知识产权试点示范单位</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p>
          <w:p>
            <w:pPr>
              <w:bidi w:val="0"/>
              <w:rPr>
                <w:lang w:val="en-US" w:eastAsia="zh-CN"/>
              </w:rPr>
            </w:pPr>
          </w:p>
          <w:p>
            <w:pPr>
              <w:bidi w:val="0"/>
              <w:rPr>
                <w:lang w:val="en-US" w:eastAsia="zh-CN"/>
              </w:rPr>
            </w:pPr>
          </w:p>
          <w:p>
            <w:pPr>
              <w:bidi w:val="0"/>
              <w:jc w:val="center"/>
              <w:rPr>
                <w:lang w:val="en-US" w:eastAsia="zh-CN"/>
              </w:rPr>
            </w:pPr>
            <w:r>
              <w:rPr>
                <w:rFonts w:hint="eastAsia" w:ascii="宋体" w:hAnsi="宋体" w:eastAsia="宋体" w:cs="宋体"/>
                <w:sz w:val="24"/>
                <w:lang w:val="en-US" w:eastAsia="zh-CN"/>
              </w:rPr>
              <w:t>受疫情影响，培训工作未开展，未支付尾款</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每万人口发明专利拥有量增长率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不低于全市GDP增长率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项目实施完成率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专利新增产值和利税年增长率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不低于全市GDP增长率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知识产权实施增长率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不低于全市GDP增长率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bl>
    <w:p>
      <w:pPr>
        <w:spacing w:line="600" w:lineRule="exact"/>
        <w:jc w:val="center"/>
        <w:outlineLvl w:val="9"/>
        <w:rPr>
          <w:rFonts w:ascii="黑体" w:hAnsi="黑体" w:eastAsia="黑体"/>
          <w:sz w:val="44"/>
          <w:szCs w:val="44"/>
        </w:rPr>
      </w:pPr>
    </w:p>
    <w:tbl>
      <w:tblPr>
        <w:tblStyle w:val="15"/>
        <w:tblpPr w:leftFromText="180" w:rightFromText="180" w:vertAnchor="text" w:horzAnchor="page" w:tblpX="1283" w:tblpY="753"/>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乐山市市场监管局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96"/>
              </w:tabs>
              <w:spacing w:line="320" w:lineRule="exact"/>
              <w:jc w:val="left"/>
              <w:textAlignment w:val="center"/>
              <w:rPr>
                <w:rFonts w:hint="eastAsia" w:ascii="宋体" w:hAnsi="宋体" w:eastAsia="宋体" w:cs="宋体"/>
                <w:sz w:val="24"/>
                <w:lang w:eastAsia="zh-CN"/>
              </w:rPr>
            </w:pPr>
            <w:r>
              <w:rPr>
                <w:rFonts w:hint="eastAsia" w:ascii="宋体" w:hAnsi="宋体" w:cs="宋体"/>
                <w:sz w:val="24"/>
                <w:lang w:eastAsia="zh-CN"/>
              </w:rPr>
              <w:t>乐山市知识产权服务促进中心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1.知识产权创造质量、运用效益、保护效果、管理水平和服务能力进一步增强。2.知识产权试点示范工作年度考核复核通过率达95%以上。3.知识产权营商环境良好。4.新增一批国家知识产权试点示范单位</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p>
          <w:p>
            <w:pPr>
              <w:bidi w:val="0"/>
              <w:rPr>
                <w:lang w:val="en-US" w:eastAsia="zh-CN"/>
              </w:rPr>
            </w:pPr>
          </w:p>
          <w:p>
            <w:pPr>
              <w:bidi w:val="0"/>
              <w:rPr>
                <w:lang w:val="en-US" w:eastAsia="zh-CN"/>
              </w:rPr>
            </w:pPr>
          </w:p>
          <w:p>
            <w:pPr>
              <w:bidi w:val="0"/>
              <w:jc w:val="center"/>
              <w:rPr>
                <w:lang w:val="en-US" w:eastAsia="zh-CN"/>
              </w:rPr>
            </w:pPr>
            <w:r>
              <w:rPr>
                <w:rFonts w:hint="eastAsia" w:ascii="宋体" w:hAnsi="宋体" w:eastAsia="宋体" w:cs="宋体"/>
                <w:sz w:val="24"/>
                <w:lang w:val="en-US" w:eastAsia="zh-CN"/>
              </w:rPr>
              <w:t>受疫情影响，培训工作未开展，未支付尾款</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有效专利拥有量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促进专利项目实施转化率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区域知识产权创造、运用、保护、管理和服务能力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持续增长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宣传培训工作开展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进一步提升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color w:val="333333"/>
                <w:kern w:val="0"/>
                <w:sz w:val="20"/>
                <w:szCs w:val="20"/>
                <w:u w:val="none"/>
                <w:lang w:val="en-US" w:eastAsia="zh-CN" w:bidi="ar"/>
              </w:rPr>
              <w:t>100%</w:t>
            </w:r>
          </w:p>
        </w:tc>
      </w:tr>
    </w:tbl>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0"/>
        <w:rPr>
          <w:rFonts w:ascii="仿宋" w:hAnsi="仿宋" w:eastAsia="仿宋"/>
        </w:rPr>
      </w:pPr>
      <w:bookmarkStart w:id="75" w:name="_Toc19402"/>
      <w:r>
        <w:rPr>
          <w:rFonts w:hint="eastAsia" w:ascii="黑体" w:hAnsi="黑体" w:eastAsia="黑体"/>
          <w:sz w:val="44"/>
          <w:szCs w:val="44"/>
        </w:rPr>
        <w:t>第</w:t>
      </w:r>
      <w:r>
        <w:rPr>
          <w:rStyle w:val="27"/>
          <w:rFonts w:hint="eastAsia" w:ascii="黑体" w:hAnsi="黑体" w:eastAsia="黑体"/>
          <w:b w:val="0"/>
        </w:rPr>
        <w:t>五部分 附表</w:t>
      </w:r>
      <w:bookmarkEnd w:id="70"/>
      <w:bookmarkEnd w:id="74"/>
      <w:bookmarkEnd w:id="75"/>
      <w:bookmarkStart w:id="76" w:name="_Toc15396619"/>
    </w:p>
    <w:p>
      <w:pPr>
        <w:pStyle w:val="4"/>
        <w:rPr>
          <w:rFonts w:ascii="仿宋" w:hAnsi="仿宋" w:eastAsia="仿宋"/>
        </w:rPr>
      </w:pPr>
      <w:bookmarkStart w:id="77" w:name="_Toc19191"/>
      <w:r>
        <w:rPr>
          <w:rFonts w:hint="eastAsia" w:ascii="仿宋" w:hAnsi="仿宋" w:eastAsia="仿宋"/>
          <w:b w:val="0"/>
        </w:rPr>
        <w:t>一、收</w:t>
      </w:r>
      <w:r>
        <w:rPr>
          <w:rStyle w:val="28"/>
          <w:rFonts w:hint="eastAsia" w:ascii="仿宋" w:hAnsi="仿宋" w:eastAsia="仿宋"/>
          <w:b w:val="0"/>
          <w:bCs w:val="0"/>
        </w:rPr>
        <w:t>入支出决算总表</w:t>
      </w:r>
      <w:bookmarkEnd w:id="76"/>
      <w:bookmarkEnd w:id="77"/>
    </w:p>
    <w:p>
      <w:pPr>
        <w:pStyle w:val="4"/>
        <w:rPr>
          <w:rFonts w:ascii="仿宋" w:hAnsi="仿宋" w:eastAsia="仿宋"/>
        </w:rPr>
      </w:pPr>
      <w:bookmarkStart w:id="78" w:name="_Toc15396620"/>
      <w:bookmarkStart w:id="79" w:name="_Toc2712"/>
      <w:r>
        <w:rPr>
          <w:rFonts w:hint="eastAsia" w:ascii="仿宋" w:hAnsi="仿宋" w:eastAsia="仿宋"/>
          <w:b w:val="0"/>
        </w:rPr>
        <w:t>二、收</w:t>
      </w:r>
      <w:r>
        <w:rPr>
          <w:rStyle w:val="28"/>
          <w:rFonts w:hint="eastAsia" w:ascii="仿宋" w:hAnsi="仿宋" w:eastAsia="仿宋"/>
          <w:b w:val="0"/>
          <w:bCs w:val="0"/>
        </w:rPr>
        <w:t>入决算表</w:t>
      </w:r>
      <w:bookmarkEnd w:id="78"/>
      <w:bookmarkEnd w:id="79"/>
    </w:p>
    <w:p>
      <w:pPr>
        <w:pStyle w:val="4"/>
        <w:rPr>
          <w:rFonts w:ascii="仿宋" w:hAnsi="仿宋" w:eastAsia="仿宋"/>
        </w:rPr>
      </w:pPr>
      <w:bookmarkStart w:id="80" w:name="_Toc15396621"/>
      <w:bookmarkStart w:id="81" w:name="_Toc24747"/>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0"/>
      <w:bookmarkEnd w:id="81"/>
    </w:p>
    <w:p>
      <w:pPr>
        <w:pStyle w:val="4"/>
        <w:rPr>
          <w:rFonts w:ascii="仿宋" w:hAnsi="仿宋" w:eastAsia="仿宋"/>
          <w:b w:val="0"/>
        </w:rPr>
      </w:pPr>
      <w:bookmarkStart w:id="82" w:name="_Toc31292"/>
      <w:bookmarkStart w:id="8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2"/>
      <w:bookmarkEnd w:id="83"/>
    </w:p>
    <w:p>
      <w:pPr>
        <w:pStyle w:val="4"/>
        <w:rPr>
          <w:rStyle w:val="28"/>
          <w:rFonts w:ascii="仿宋" w:hAnsi="仿宋" w:eastAsia="仿宋"/>
          <w:b w:val="0"/>
          <w:bCs w:val="0"/>
        </w:rPr>
      </w:pPr>
      <w:bookmarkStart w:id="84" w:name="_Toc2585"/>
      <w:bookmarkStart w:id="85"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4"/>
      <w:bookmarkEnd w:id="85"/>
      <w:bookmarkStart w:id="86" w:name="_Toc15396624"/>
    </w:p>
    <w:p>
      <w:pPr>
        <w:pStyle w:val="4"/>
        <w:rPr>
          <w:rFonts w:ascii="仿宋" w:hAnsi="仿宋" w:eastAsia="仿宋"/>
        </w:rPr>
      </w:pPr>
      <w:bookmarkStart w:id="87" w:name="_Toc29958"/>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6"/>
      <w:bookmarkEnd w:id="87"/>
    </w:p>
    <w:p>
      <w:pPr>
        <w:pStyle w:val="4"/>
        <w:rPr>
          <w:rFonts w:ascii="仿宋" w:hAnsi="仿宋" w:eastAsia="仿宋"/>
        </w:rPr>
      </w:pPr>
      <w:bookmarkStart w:id="88" w:name="_Toc15396625"/>
      <w:bookmarkStart w:id="89" w:name="_Toc5151"/>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8"/>
      <w:bookmarkEnd w:id="89"/>
    </w:p>
    <w:p>
      <w:pPr>
        <w:pStyle w:val="4"/>
        <w:rPr>
          <w:rFonts w:ascii="仿宋" w:hAnsi="仿宋" w:eastAsia="仿宋"/>
        </w:rPr>
      </w:pPr>
      <w:bookmarkStart w:id="90" w:name="_Toc15396626"/>
      <w:bookmarkStart w:id="91" w:name="_Toc18659"/>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0"/>
      <w:bookmarkEnd w:id="91"/>
    </w:p>
    <w:p>
      <w:pPr>
        <w:pStyle w:val="4"/>
        <w:rPr>
          <w:rFonts w:ascii="仿宋" w:hAnsi="仿宋" w:eastAsia="仿宋"/>
        </w:rPr>
      </w:pPr>
      <w:bookmarkStart w:id="92" w:name="_Toc15396627"/>
      <w:bookmarkStart w:id="93" w:name="_Toc8030"/>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2"/>
      <w:bookmarkEnd w:id="93"/>
    </w:p>
    <w:p>
      <w:pPr>
        <w:pStyle w:val="4"/>
        <w:rPr>
          <w:rFonts w:ascii="仿宋" w:hAnsi="仿宋" w:eastAsia="仿宋"/>
        </w:rPr>
      </w:pPr>
      <w:bookmarkStart w:id="94" w:name="_Toc31946"/>
      <w:bookmarkStart w:id="95" w:name="_Toc15396628"/>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94"/>
      <w:bookmarkEnd w:id="95"/>
    </w:p>
    <w:p>
      <w:pPr>
        <w:pStyle w:val="4"/>
        <w:rPr>
          <w:rFonts w:ascii="仿宋" w:hAnsi="仿宋" w:eastAsia="仿宋"/>
        </w:rPr>
      </w:pPr>
      <w:bookmarkStart w:id="96" w:name="_Toc15396629"/>
      <w:bookmarkStart w:id="97" w:name="_Toc17502"/>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6"/>
      <w:bookmarkEnd w:id="97"/>
    </w:p>
    <w:p>
      <w:pPr>
        <w:pStyle w:val="4"/>
        <w:rPr>
          <w:rFonts w:ascii="仿宋" w:hAnsi="仿宋" w:eastAsia="仿宋"/>
        </w:rPr>
      </w:pPr>
      <w:bookmarkStart w:id="98" w:name="_Toc15396630"/>
      <w:bookmarkStart w:id="99" w:name="_Toc1741"/>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98"/>
      <w:bookmarkEnd w:id="99"/>
    </w:p>
    <w:p>
      <w:pPr>
        <w:pStyle w:val="4"/>
        <w:rPr>
          <w:rStyle w:val="28"/>
          <w:rFonts w:ascii="仿宋" w:hAnsi="仿宋" w:eastAsia="仿宋"/>
          <w:b w:val="0"/>
          <w:bCs w:val="0"/>
        </w:rPr>
      </w:pPr>
      <w:bookmarkStart w:id="100" w:name="_Toc15396631"/>
      <w:bookmarkStart w:id="101" w:name="_Toc2538"/>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0"/>
      <w:bookmarkEnd w:id="101"/>
    </w:p>
    <w:p>
      <w:pPr>
        <w:rPr>
          <w:rFonts w:eastAsia="仿宋"/>
        </w:rPr>
      </w:pPr>
      <w:bookmarkStart w:id="102" w:name="_Toc8071"/>
      <w:r>
        <w:rPr>
          <w:rStyle w:val="28"/>
          <w:rFonts w:hint="eastAsia" w:ascii="仿宋" w:hAnsi="仿宋" w:eastAsia="仿宋"/>
          <w:b w:val="0"/>
          <w:bCs w:val="0"/>
        </w:rPr>
        <w:t>十四、国有资本经营预算财政拨款支出决算表</w:t>
      </w:r>
      <w:bookmarkEnd w:id="102"/>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14"/>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73A0751"/>
    <w:multiLevelType w:val="singleLevel"/>
    <w:tmpl w:val="073A0751"/>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TE0OGVkMzdmNjY1ZmU2M2QzY2IxZTVmZjA1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C4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09F9"/>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CE8"/>
    <w:rsid w:val="00A67AB5"/>
    <w:rsid w:val="00A733B2"/>
    <w:rsid w:val="00A741C2"/>
    <w:rsid w:val="00A774A1"/>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A66"/>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51E61"/>
    <w:rsid w:val="051B6DA2"/>
    <w:rsid w:val="056E57B4"/>
    <w:rsid w:val="05A01DCA"/>
    <w:rsid w:val="05BA4483"/>
    <w:rsid w:val="06451F6E"/>
    <w:rsid w:val="07FD1CC2"/>
    <w:rsid w:val="0869619A"/>
    <w:rsid w:val="0A2032A3"/>
    <w:rsid w:val="0B8A37D8"/>
    <w:rsid w:val="0E1D4AC9"/>
    <w:rsid w:val="10C055FF"/>
    <w:rsid w:val="10FC5D15"/>
    <w:rsid w:val="118107EC"/>
    <w:rsid w:val="11DD6519"/>
    <w:rsid w:val="13913818"/>
    <w:rsid w:val="15C1737A"/>
    <w:rsid w:val="161B0508"/>
    <w:rsid w:val="16BB723D"/>
    <w:rsid w:val="18015F3F"/>
    <w:rsid w:val="1AFA6555"/>
    <w:rsid w:val="1BE8440E"/>
    <w:rsid w:val="1D155CEE"/>
    <w:rsid w:val="1DF0034B"/>
    <w:rsid w:val="1E4B1943"/>
    <w:rsid w:val="1F227799"/>
    <w:rsid w:val="1FEB2857"/>
    <w:rsid w:val="20AA02CD"/>
    <w:rsid w:val="20F57F95"/>
    <w:rsid w:val="20FB73EF"/>
    <w:rsid w:val="21123201"/>
    <w:rsid w:val="240371BF"/>
    <w:rsid w:val="25C741E6"/>
    <w:rsid w:val="25E62962"/>
    <w:rsid w:val="26EF490A"/>
    <w:rsid w:val="27032A03"/>
    <w:rsid w:val="2734749E"/>
    <w:rsid w:val="27842671"/>
    <w:rsid w:val="28137FE4"/>
    <w:rsid w:val="29FD04D3"/>
    <w:rsid w:val="2ABE7A3E"/>
    <w:rsid w:val="2CF1466F"/>
    <w:rsid w:val="2D757636"/>
    <w:rsid w:val="2E004518"/>
    <w:rsid w:val="2EFA178C"/>
    <w:rsid w:val="30402677"/>
    <w:rsid w:val="30B46D73"/>
    <w:rsid w:val="319F7F4E"/>
    <w:rsid w:val="322065C1"/>
    <w:rsid w:val="36002141"/>
    <w:rsid w:val="39AE70AB"/>
    <w:rsid w:val="3AC7662E"/>
    <w:rsid w:val="3B930CFE"/>
    <w:rsid w:val="3C0C0783"/>
    <w:rsid w:val="3E3E1B5A"/>
    <w:rsid w:val="3F7F5A44"/>
    <w:rsid w:val="3F9F3A96"/>
    <w:rsid w:val="418C5240"/>
    <w:rsid w:val="430D7255"/>
    <w:rsid w:val="43675CBF"/>
    <w:rsid w:val="44842CC6"/>
    <w:rsid w:val="466D41E8"/>
    <w:rsid w:val="46B47877"/>
    <w:rsid w:val="46E34B22"/>
    <w:rsid w:val="4862794D"/>
    <w:rsid w:val="49175F1E"/>
    <w:rsid w:val="493C27E9"/>
    <w:rsid w:val="49605497"/>
    <w:rsid w:val="496F39ED"/>
    <w:rsid w:val="49FF41D3"/>
    <w:rsid w:val="4A4E18BA"/>
    <w:rsid w:val="4BD67A3D"/>
    <w:rsid w:val="4BE068DB"/>
    <w:rsid w:val="4BF6002B"/>
    <w:rsid w:val="4D507D45"/>
    <w:rsid w:val="4D603115"/>
    <w:rsid w:val="4D6F2B08"/>
    <w:rsid w:val="4DD46074"/>
    <w:rsid w:val="4ECE2238"/>
    <w:rsid w:val="510B5878"/>
    <w:rsid w:val="5133079F"/>
    <w:rsid w:val="51DB4B86"/>
    <w:rsid w:val="53E87C06"/>
    <w:rsid w:val="541066A6"/>
    <w:rsid w:val="55333C3E"/>
    <w:rsid w:val="56B459AC"/>
    <w:rsid w:val="591439B4"/>
    <w:rsid w:val="5C070D82"/>
    <w:rsid w:val="5EEE53C2"/>
    <w:rsid w:val="60D0732F"/>
    <w:rsid w:val="634C4E04"/>
    <w:rsid w:val="63E425A9"/>
    <w:rsid w:val="64CA39A1"/>
    <w:rsid w:val="6581616A"/>
    <w:rsid w:val="67490ACC"/>
    <w:rsid w:val="69767817"/>
    <w:rsid w:val="699E03AB"/>
    <w:rsid w:val="6ABB1FB4"/>
    <w:rsid w:val="6B3176D1"/>
    <w:rsid w:val="6BE07C5F"/>
    <w:rsid w:val="6C4A05C8"/>
    <w:rsid w:val="6E8C4F97"/>
    <w:rsid w:val="72734D90"/>
    <w:rsid w:val="750208C6"/>
    <w:rsid w:val="751C447A"/>
    <w:rsid w:val="76036CC7"/>
    <w:rsid w:val="766767F6"/>
    <w:rsid w:val="77397F38"/>
    <w:rsid w:val="77C2005F"/>
    <w:rsid w:val="79E7B28D"/>
    <w:rsid w:val="7BC1169D"/>
    <w:rsid w:val="7BD64320"/>
    <w:rsid w:val="7D132716"/>
    <w:rsid w:val="7F093E9F"/>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420" w:leftChars="200"/>
    </w:pPr>
    <w:rPr>
      <w:kern w:val="0"/>
      <w:sz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99"/>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qFormat/>
    <w:uiPriority w:val="0"/>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8"/>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021&#24180;&#20915;&#31639;&#25968;&#25454;2022.9.19\&#27169;&#26495;&#21103;&#264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021&#24180;&#28023;&#26848;&#20915;&#31639;\&#27169;&#26495;&#21103;&#264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021&#24180;&#28023;&#26848;&#20915;&#31639;\&#27169;&#26495;&#21103;&#2641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Desktop\2021&#24180;&#20915;&#31639;&#25968;&#25454;2022.9.19\&#27169;&#26495;&#21103;&#264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21&#24180;&#28023;&#26848;&#20915;&#31639;\&#27169;&#26495;&#21103;&#2641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021&#24180;&#28023;&#26848;&#20915;&#31639;\&#27169;&#26495;&#21103;&#2641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021&#24180;&#28023;&#26848;&#20915;&#31639;\&#27169;&#26495;&#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：乐山市知识产权服务促进中心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收、支总计决算总计变动情况图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[模板副本.xlsx]收入决算结构图2!$B$50</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[模板副本.xlsx]收入决算结构图2!$A$51:$A$52</c:f>
              <c:strCache>
                <c:ptCount val="2"/>
                <c:pt idx="0">
                  <c:v>2020年</c:v>
                </c:pt>
                <c:pt idx="1">
                  <c:v>2021年</c:v>
                </c:pt>
              </c:strCache>
            </c:strRef>
          </c:cat>
          <c:val>
            <c:numRef>
              <c:f>[模板副本.xlsx]收入决算结构图2!$B$51:$B$52</c:f>
              <c:numCache>
                <c:formatCode>General</c:formatCode>
                <c:ptCount val="2"/>
                <c:pt idx="0">
                  <c:v>236.88</c:v>
                </c:pt>
                <c:pt idx="1">
                  <c:v>635.38</c:v>
                </c:pt>
              </c:numCache>
            </c:numRef>
          </c:val>
        </c:ser>
        <c:dLbls>
          <c:showLegendKey val="0"/>
          <c:showVal val="1"/>
          <c:showCatName val="0"/>
          <c:showSerName val="0"/>
          <c:showPercent val="0"/>
          <c:showBubbleSize val="0"/>
        </c:dLbls>
        <c:gapWidth val="219"/>
        <c:overlap val="-27"/>
        <c:axId val="873828907"/>
        <c:axId val="187963406"/>
      </c:barChart>
      <c:catAx>
        <c:axId val="8738289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63406"/>
        <c:crosses val="autoZero"/>
        <c:auto val="1"/>
        <c:lblAlgn val="ctr"/>
        <c:lblOffset val="100"/>
        <c:noMultiLvlLbl val="0"/>
      </c:catAx>
      <c:valAx>
        <c:axId val="187963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828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图二：乐山市知识产权服务促进中心</a:t>
            </a:r>
          </a:p>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1"/>
          <c:order val="1"/>
          <c:tx>
            <c:strRef>
              <c:f>[模板副本.xlsx]收入决算结构图2!$C$35</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[模板副本.xlsx]收入决算结构图2!$A$36:$A$38</c:f>
              <c:strCache>
                <c:ptCount val="3"/>
                <c:pt idx="0">
                  <c:v>一般公共预算财政拨款收入346.11万元</c:v>
                </c:pt>
                <c:pt idx="1">
                  <c:v>政府性基金预算财政拨款收入0万元</c:v>
                </c:pt>
                <c:pt idx="2">
                  <c:v>其他收入0万元</c:v>
                </c:pt>
              </c:strCache>
            </c:strRef>
          </c:cat>
          <c:val>
            <c:numRef>
              <c:f>[模板副本.xlsx]收入决算结构图2!$C$36:$C$38</c:f>
              <c:numCache>
                <c:formatCode>0%</c:formatCode>
                <c:ptCount val="3"/>
                <c:pt idx="0">
                  <c:v>1</c:v>
                </c:pt>
                <c:pt idx="1">
                  <c:v>0</c:v>
                </c:pt>
                <c:pt idx="2">
                  <c:v>0</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[模板副本.xlsx]收入决算结构图2!$B$35</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[模板副本.xlsx]收入决算结构图2!$A$36:$A$38</c15:sqref>
                        </c15:formulaRef>
                      </c:ext>
                    </c:extLst>
                    <c:strCache>
                      <c:ptCount val="3"/>
                      <c:pt idx="0">
                        <c:v>一般公共预算财政拨款收入346.11万元</c:v>
                      </c:pt>
                      <c:pt idx="1">
                        <c:v>政府性基金预算财政拨款收入0万元</c:v>
                      </c:pt>
                      <c:pt idx="2">
                        <c:v>其他收入0万元</c:v>
                      </c:pt>
                    </c:strCache>
                  </c:strRef>
                </c:cat>
                <c:val>
                  <c:numRef>
                    <c:extLst>
                      <c:ext uri="{02D57815-91ED-43cb-92C2-25804820EDAC}">
                        <c15:formulaRef>
                          <c15:sqref>{346.11,0,0}</c15:sqref>
                        </c15:formulaRef>
                      </c:ext>
                    </c:extLst>
                    <c:numCache>
                      <c:formatCode>General</c:formatCode>
                      <c:ptCount val="3"/>
                      <c:pt idx="0">
                        <c:v>346.11</c:v>
                      </c:pt>
                      <c:pt idx="1">
                        <c:v>0</c:v>
                      </c:pt>
                      <c:pt idx="2">
                        <c:v>0</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图三：乐山市知识产权服务促进中心</a:t>
            </a:r>
          </a:p>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1"/>
          <c:order val="1"/>
          <c:tx>
            <c:strRef>
              <c:f>[模板副本.xlsx]收入决算结构图2!$C$35</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[模板副本.xlsx]收入决算结构图2!$A$36:$A$37</c:f>
              <c:strCache>
                <c:ptCount val="2"/>
                <c:pt idx="0">
                  <c:v>基本支出200.52万元</c:v>
                </c:pt>
                <c:pt idx="1">
                  <c:v>项目支出88.75万元</c:v>
                </c:pt>
              </c:strCache>
            </c:strRef>
          </c:cat>
          <c:val>
            <c:numRef>
              <c:f>[模板副本.xlsx]收入决算结构图2!$C$36:$C$37</c:f>
              <c:numCache>
                <c:formatCode>0.00%</c:formatCode>
                <c:ptCount val="2"/>
                <c:pt idx="0">
                  <c:v>0.693193210495385</c:v>
                </c:pt>
                <c:pt idx="1">
                  <c:v>0.306806789504615</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[模板副本.xlsx]收入决算结构图2!$B$35</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[模板副本.xlsx]收入决算结构图2!$A$36:$A$37</c15:sqref>
                        </c15:formulaRef>
                      </c:ext>
                    </c:extLst>
                    <c:strCache>
                      <c:ptCount val="2"/>
                      <c:pt idx="0">
                        <c:v>基本支出200.52万元</c:v>
                      </c:pt>
                      <c:pt idx="1">
                        <c:v>项目支出88.75万元</c:v>
                      </c:pt>
                    </c:strCache>
                  </c:strRef>
                </c:cat>
                <c:val>
                  <c:numRef>
                    <c:extLst>
                      <c:ext uri="{02D57815-91ED-43cb-92C2-25804820EDAC}">
                        <c15:formulaRef>
                          <c15:sqref>{200.52,88.75}</c15:sqref>
                        </c15:formulaRef>
                      </c:ext>
                    </c:extLst>
                    <c:numCache>
                      <c:formatCode>General</c:formatCode>
                      <c:ptCount val="2"/>
                      <c:pt idx="0">
                        <c:v>200.52</c:v>
                      </c:pt>
                      <c:pt idx="1">
                        <c:v>88.75</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：乐山市知识产权服务促进中心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财政拨款收、支总计决算总计变动情况图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[模板副本.xlsx]收入决算结构图2!$B$50</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[模板副本.xlsx]收入决算结构图2!$A$51:$A$52</c:f>
              <c:strCache>
                <c:ptCount val="2"/>
                <c:pt idx="0">
                  <c:v>2020年</c:v>
                </c:pt>
                <c:pt idx="1">
                  <c:v>2021年</c:v>
                </c:pt>
              </c:strCache>
            </c:strRef>
          </c:cat>
          <c:val>
            <c:numRef>
              <c:f>[模板副本.xlsx]收入决算结构图2!$B$51:$B$52</c:f>
              <c:numCache>
                <c:formatCode>General</c:formatCode>
                <c:ptCount val="2"/>
                <c:pt idx="0">
                  <c:v>236.88</c:v>
                </c:pt>
                <c:pt idx="1">
                  <c:v>635.38</c:v>
                </c:pt>
              </c:numCache>
            </c:numRef>
          </c:val>
        </c:ser>
        <c:dLbls>
          <c:showLegendKey val="0"/>
          <c:showVal val="1"/>
          <c:showCatName val="0"/>
          <c:showSerName val="0"/>
          <c:showPercent val="0"/>
          <c:showBubbleSize val="0"/>
        </c:dLbls>
        <c:gapWidth val="219"/>
        <c:overlap val="-27"/>
        <c:axId val="873828907"/>
        <c:axId val="187963406"/>
      </c:barChart>
      <c:catAx>
        <c:axId val="8738289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63406"/>
        <c:crosses val="autoZero"/>
        <c:auto val="1"/>
        <c:lblAlgn val="ctr"/>
        <c:lblOffset val="100"/>
        <c:noMultiLvlLbl val="0"/>
      </c:catAx>
      <c:valAx>
        <c:axId val="187963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828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：乐山市知识产权服务促进中心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一般公共预算财政拨款支出决算变动情况</a:t>
            </a:r>
            <a:endParaRPr altLang="en-US"/>
          </a:p>
        </c:rich>
      </c:tx>
      <c:layout/>
      <c:overlay val="0"/>
      <c:spPr>
        <a:noFill/>
        <a:ln>
          <a:noFill/>
        </a:ln>
        <a:effectLst/>
      </c:spPr>
    </c:title>
    <c:autoTitleDeleted val="0"/>
    <c:plotArea>
      <c:layout/>
      <c:barChart>
        <c:barDir val="col"/>
        <c:grouping val="clustered"/>
        <c:varyColors val="0"/>
        <c:ser>
          <c:idx val="0"/>
          <c:order val="0"/>
          <c:tx>
            <c:strRef>
              <c:f>[模板副本.xlsx]收入决算结构图2!$B$50</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[模板副本.xlsx]收入决算结构图2!$A$51:$A$52</c:f>
              <c:strCache>
                <c:ptCount val="2"/>
                <c:pt idx="0">
                  <c:v>2020年</c:v>
                </c:pt>
                <c:pt idx="1">
                  <c:v>2021年</c:v>
                </c:pt>
              </c:strCache>
            </c:strRef>
          </c:cat>
          <c:val>
            <c:numRef>
              <c:f>[模板副本.xlsx]收入决算结构图2!$B$51:$B$52</c:f>
              <c:numCache>
                <c:formatCode>General</c:formatCode>
                <c:ptCount val="2"/>
                <c:pt idx="0">
                  <c:v>199.25</c:v>
                </c:pt>
                <c:pt idx="1">
                  <c:v>289.27</c:v>
                </c:pt>
              </c:numCache>
            </c:numRef>
          </c:val>
        </c:ser>
        <c:dLbls>
          <c:showLegendKey val="0"/>
          <c:showVal val="1"/>
          <c:showCatName val="0"/>
          <c:showSerName val="0"/>
          <c:showPercent val="0"/>
          <c:showBubbleSize val="0"/>
        </c:dLbls>
        <c:gapWidth val="219"/>
        <c:overlap val="-27"/>
        <c:axId val="873828907"/>
        <c:axId val="187963406"/>
      </c:barChart>
      <c:catAx>
        <c:axId val="8738289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63406"/>
        <c:crosses val="autoZero"/>
        <c:auto val="1"/>
        <c:lblAlgn val="ctr"/>
        <c:lblOffset val="100"/>
        <c:noMultiLvlLbl val="0"/>
      </c:catAx>
      <c:valAx>
        <c:axId val="187963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8289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：乐山市知识产权服务促进中心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一般公共预算财政拨款支出决算结构</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[模板副本.xlsx]收入决算结构图2!$A$72:$A$75</c:f>
              <c:strCache>
                <c:ptCount val="4"/>
                <c:pt idx="0">
                  <c:v>一般公共服务支出250.98万元</c:v>
                </c:pt>
                <c:pt idx="1">
                  <c:v>社会保障和就业支出21.62万元</c:v>
                </c:pt>
                <c:pt idx="2">
                  <c:v>卫生健康支出3.85万元</c:v>
                </c:pt>
                <c:pt idx="3">
                  <c:v>住房保障支出12.82万元</c:v>
                </c:pt>
              </c:strCache>
            </c:strRef>
          </c:cat>
          <c:val>
            <c:numRef>
              <c:f>[模板副本.xlsx]收入决算结构图2!$B$72:$B$75</c:f>
              <c:numCache>
                <c:formatCode>0.00%</c:formatCode>
                <c:ptCount val="4"/>
                <c:pt idx="0">
                  <c:v>0.8677</c:v>
                </c:pt>
                <c:pt idx="1">
                  <c:v>0.0747</c:v>
                </c:pt>
                <c:pt idx="2">
                  <c:v>0.0133</c:v>
                </c:pt>
                <c:pt idx="3">
                  <c:v>0.0443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：乐山市知识产权服务促进中心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[模板副本.xlsx]收入决算结构图2!$A$72:$A$74</c:f>
              <c:strCache>
                <c:ptCount val="3"/>
                <c:pt idx="0">
                  <c:v>因公出国（境）费支出0万元</c:v>
                </c:pt>
                <c:pt idx="1">
                  <c:v>公务用车购置及运行维护费支出0万元</c:v>
                </c:pt>
                <c:pt idx="2">
                  <c:v>公务费接待支出0.47万元</c:v>
                </c:pt>
              </c:strCache>
            </c:strRef>
          </c:cat>
          <c:val>
            <c:numRef>
              <c:f>[模板副本.xlsx]收入决算结构图2!$B$72:$B$74</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8368</Words>
  <Characters>9025</Characters>
  <Lines>44</Lines>
  <Paragraphs>12</Paragraphs>
  <TotalTime>5</TotalTime>
  <ScaleCrop>false</ScaleCrop>
  <LinksUpToDate>false</LinksUpToDate>
  <CharactersWithSpaces>9128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2022-08-06T02:23:00Z</cp:lastPrinted>
  <dcterms:modified xsi:type="dcterms:W3CDTF">2022-10-14T03:04:42Z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973E7171822647CCB3465EBA42A5B19A</vt:lpwstr>
  </property>
</Properties>
</file>