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wrap="around"/>
      </w:pPr>
      <w:r>
        <w:rPr>
          <w:rFonts w:ascii="Times New Roman"/>
        </w:rPr>
        <w:t>ICS</w:t>
      </w:r>
      <w:r>
        <w:rPr>
          <w:rFonts w:hint="eastAsia" w:ascii="MS Gothic" w:hAnsi="MS Gothic" w:eastAsia="MS Gothic" w:cs="MS Gothic"/>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67.020</w:t>
      </w:r>
      <w:r>
        <w:fldChar w:fldCharType="end"/>
      </w:r>
      <w:bookmarkEnd w:id="0"/>
    </w:p>
    <w:p>
      <w:pPr>
        <w:pStyle w:val="126"/>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X 01</w:t>
      </w:r>
      <w:r>
        <w:fldChar w:fldCharType="end"/>
      </w:r>
      <w:bookmarkEnd w:id="1"/>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tcPr>
          <w:p>
            <w:pPr>
              <w:pStyle w:val="126"/>
              <w:framePr w:wrap="around"/>
            </w:pPr>
            <w:r>
              <w:pict>
                <v:rect id="BAH" o:spid="_x0000_s1026" o:spt="1" style="position:absolute;left:0pt;margin-left:-5.25pt;margin-top:0pt;height:15.6pt;width:68.25pt;z-index:-251656192;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3oZsqUBAABZAwAADgAAAGRycy9lMm9Eb2MueG1srVNNb9sw&#10;DL0P6H8QdG8cB1u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ArehmypQEAAFkDAAAO&#10;AAAAAAAAAAEAIAAAACQBAABkcnMvZTJvRG9jLnhtbFBLBQYAAAAABgAGAFkBAAA7BQAAAAA=&#1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rPr>
                <w:rFonts w:hint="eastAsia"/>
              </w:rPr>
              <w:t>备案号：</w:t>
            </w:r>
            <w:r>
              <w:fldChar w:fldCharType="end"/>
            </w:r>
            <w:bookmarkEnd w:id="2"/>
          </w:p>
        </w:tc>
      </w:tr>
    </w:tbl>
    <w:p>
      <w:pPr>
        <w:pStyle w:val="112"/>
        <w:framePr w:wrap="around"/>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5111</w:t>
      </w:r>
      <w:r>
        <w:fldChar w:fldCharType="end"/>
      </w:r>
      <w:bookmarkEnd w:id="3"/>
    </w:p>
    <w:p>
      <w:pPr>
        <w:pStyle w:val="113"/>
        <w:framePr w:wrap="around"/>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四川省（区域性）</w:t>
      </w:r>
      <w:r>
        <w:fldChar w:fldCharType="end"/>
      </w:r>
      <w:bookmarkEnd w:id="4"/>
      <w:r>
        <w:rPr>
          <w:rFonts w:hint="eastAsia"/>
        </w:rPr>
        <w:t>地方标准</w:t>
      </w:r>
    </w:p>
    <w:p>
      <w:pPr>
        <w:pStyle w:val="49"/>
        <w:framePr w:wrap="around"/>
      </w:pPr>
      <w:r>
        <w:rPr>
          <w:rFonts w:ascii="Times New Roman"/>
        </w:rPr>
        <w:t xml:space="preserve">DB </w:t>
      </w:r>
      <w:bookmarkStart w:id="5" w:name="StdNo0"/>
      <w:r>
        <w:fldChar w:fldCharType="begin">
          <w:ffData>
            <w:name w:val="StdNo0"/>
            <w:enabled/>
            <w:calcOnExit w:val="0"/>
            <w:textInput>
              <w:default w:val="XX"/>
              <w:maxLength w:val="2"/>
            </w:textInput>
          </w:ffData>
        </w:fldChar>
      </w:r>
      <w:r>
        <w:rPr>
          <w:rFonts w:hint="eastAsia"/>
        </w:rPr>
        <w:instrText xml:space="preserve"> FORMTEXT </w:instrText>
      </w:r>
      <w:r>
        <w:fldChar w:fldCharType="separate"/>
      </w:r>
      <w:r>
        <w:rPr>
          <w:rFonts w:hint="eastAsia"/>
        </w:rPr>
        <w:t>5111</w:t>
      </w:r>
      <w:r>
        <w:fldChar w:fldCharType="end"/>
      </w:r>
      <w:bookmarkEnd w:id="5"/>
      <w:r>
        <w:t>/</w:t>
      </w:r>
      <w:r>
        <w:rPr>
          <w:rFonts w:hint="eastAsia"/>
        </w:rPr>
        <w:t>XX</w:t>
      </w:r>
      <w:r>
        <w:t>—</w:t>
      </w:r>
      <w:r>
        <w:rPr>
          <w:rFonts w:hint="eastAsia"/>
        </w:rPr>
        <w:t>2022</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tcPr>
          <w:p>
            <w:pPr>
              <w:pStyle w:val="78"/>
              <w:framePr w:wrap="around"/>
            </w:pPr>
            <w:bookmarkStart w:id="6"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6"/>
          </w:p>
        </w:tc>
      </w:tr>
    </w:tbl>
    <w:p>
      <w:pPr>
        <w:pStyle w:val="49"/>
        <w:framePr w:wrap="around"/>
      </w:pPr>
    </w:p>
    <w:p>
      <w:pPr>
        <w:pStyle w:val="49"/>
        <w:framePr w:wrap="around"/>
      </w:pPr>
    </w:p>
    <w:p>
      <w:pPr>
        <w:pStyle w:val="80"/>
        <w:framePr w:wrap="around"/>
      </w:pPr>
      <w:bookmarkStart w:id="7"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嘉州菜 牛华麻辣烫制作工艺规范</w:t>
      </w:r>
      <w:r>
        <w:fldChar w:fldCharType="end"/>
      </w:r>
      <w:bookmarkEnd w:id="7"/>
    </w:p>
    <w:p>
      <w:pPr>
        <w:pStyle w:val="81"/>
        <w:framePr w:wrap="around"/>
      </w:pPr>
      <w:r>
        <w:rPr>
          <w:rFonts w:hint="eastAsia"/>
        </w:rPr>
        <w:t>Jiazhou Cuisine: Preparation of Niuhua Malatang</w:t>
      </w:r>
    </w:p>
    <w:p>
      <w:pPr>
        <w:pStyle w:val="82"/>
        <w:framePr w:wrap="around"/>
      </w:pPr>
      <w:bookmarkStart w:id="8"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8"/>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tcPr>
          <w:p>
            <w:pPr>
              <w:pStyle w:val="83"/>
              <w:framePr w:wrap="around"/>
            </w:pPr>
            <w:r>
              <w:pict>
                <v:rect id="RQ" o:spid="_x0000_s1031" o:spt="1" style="position:absolute;left:0pt;margin-left:173.3pt;margin-top:337.15pt;height:20pt;width:150pt;z-index:-251656192;mso-width-relative:page;mso-height-relative:page;"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9f34NcAAAALAQAADwAAAAAAAAAB&#10;ACAAAAAiAAAAZHJzL2Rvd25yZXYueG1sUEsBAhQAFAAAAAgAh07iQAWhuqafAQAAWQMAAA4AAAAA&#10;AAAAAQAgAAAAJgEAAGRycy9lMm9Eb2MueG1sUEsFBgAAAAAGAAYAWQEAADcFAAAAAA==&#10;">
                  <v:path/>
                  <v:fill focussize="0,0"/>
                  <v:stroke on="f"/>
                  <v:imagedata o:title=""/>
                  <o:lock v:ext="edit"/>
                  <w10:anchorlock/>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9" w:name="LB"/>
            <w:r>
              <w:instrText xml:space="preserve"> FORMDROPDOWN </w:instrText>
            </w:r>
            <w:r>
              <w:fldChar w:fldCharType="separate"/>
            </w:r>
            <w:r>
              <w:fldChar w:fldCharType="end"/>
            </w:r>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tcPr>
          <w:p>
            <w:pPr>
              <w:pStyle w:val="84"/>
              <w:framePr w:wrap="around"/>
            </w:pPr>
            <w:bookmarkStart w:id="10" w:name="WCRQ"/>
            <w:r>
              <w:fldChar w:fldCharType="begin">
                <w:ffData>
                  <w:name w:val="WCRQ"/>
                  <w:enabled/>
                  <w:calcOnExit w:val="0"/>
                  <w:textInput/>
                </w:ffData>
              </w:fldChar>
            </w:r>
            <w:r>
              <w:instrText xml:space="preserve"> FORMTEXT </w:instrText>
            </w:r>
            <w:r>
              <w:fldChar w:fldCharType="separate"/>
            </w:r>
            <w:r>
              <w:t>     </w:t>
            </w:r>
            <w:r>
              <w:fldChar w:fldCharType="end"/>
            </w:r>
            <w:bookmarkEnd w:id="10"/>
          </w:p>
        </w:tc>
      </w:tr>
    </w:tbl>
    <w:p>
      <w:pPr>
        <w:pStyle w:val="133"/>
        <w:framePr w:wrap="around"/>
      </w:pPr>
      <w:bookmarkStart w:id="11"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1"/>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r>
        <w:rPr>
          <w:rFonts w:ascii="黑体"/>
        </w:rPr>
        <w:t>–</w:t>
      </w:r>
      <w:bookmarkStart w:id="1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2"/>
      <w:r>
        <w:rPr>
          <w:rFonts w:hint="eastAsia"/>
        </w:rPr>
        <w:t>发布</w:t>
      </w:r>
      <w:r>
        <w:pict>
          <v:line id="直线 10" o:spid="_x0000_s1030" o:spt="20" style="position:absolute;left:0pt;margin-left:-0.05pt;margin-top:728.5pt;height:0pt;width:481.9pt;mso-position-vertical-relative:page;z-index:251659264;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e0wwb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t+w5kDSw1/+v7j6ecv&#10;VhdxxoANxdy7TSSp8g7DJmamhy7a/CcO7FAEPZ4FVYfEBB3e1sTqLWktnn3V5WKImD4qb1k2Wm60&#10;y1yhgf0nTJSMQp9D8rFxbGz5+5sFFSq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3tMMG&#10;5gEAANwDAAAOAAAAAAAAAAEAIAAAACUBAABkcnMvZTJvRG9jLnhtbFBLBQYAAAAABgAGAFkBAAB9&#10;BQAAAAA=&#10;">
            <v:path arrowok="t"/>
            <v:fill focussize="0,0"/>
            <v:stroke/>
            <v:imagedata o:title=""/>
            <o:lock v:ext="edit"/>
            <w10:anchorlock/>
          </v:line>
        </w:pict>
      </w:r>
    </w:p>
    <w:p>
      <w:pPr>
        <w:pStyle w:val="134"/>
        <w:framePr w:wrap="around"/>
      </w:pPr>
      <w:bookmarkStart w:id="13"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3"/>
      <w:r>
        <w:rPr>
          <w:rFonts w:ascii="黑体"/>
        </w:rPr>
        <w:t>–</w:t>
      </w:r>
      <w:bookmarkStart w:id="1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rPr>
          <w:rFonts w:ascii="黑体"/>
        </w:rPr>
        <w:t>–</w:t>
      </w:r>
      <w:bookmarkStart w:id="1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实施</w:t>
      </w:r>
    </w:p>
    <w:p>
      <w:pPr>
        <w:pStyle w:val="114"/>
        <w:framePr w:wrap="around"/>
      </w:pPr>
      <w:bookmarkStart w:id="16" w:name="fm"/>
      <w:r>
        <w:rPr>
          <w:w w:val="100"/>
        </w:rPr>
        <w:pict>
          <v:rect id="LB" o:spid="_x0000_s1029" o:spt="1" style="position:absolute;left:0pt;margin-left:142.55pt;margin-top:-310.45pt;height:24pt;width:100pt;z-index:-251656192;mso-width-relative:page;mso-height-relative:page;"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5te7W2QAAAA0BAAAPAAAAAAAA&#10;AAEAIAAAACIAAABkcnMvZG93bnJldi54bWxQSwECFAAUAAAACACHTuJA+Ujf7Z8BAABZAwAADgAA&#10;AAAAAAABACAAAAAoAQAAZHJzL2Uyb0RvYy54bWxQSwUGAAAAAAYABgBZAQAAOQUAAAAA&#10;">
            <v:path/>
            <v:fill focussize="0,0"/>
            <v:stroke on="f"/>
            <v:imagedata o:title=""/>
            <o:lock v:ext="edit"/>
          </v:rect>
        </w:pict>
      </w:r>
      <w:r>
        <w:rPr>
          <w:w w:val="100"/>
        </w:rPr>
        <w:pict>
          <v:rect id="DT" o:spid="_x0000_s1028" o:spt="1" style="position:absolute;left:0pt;margin-left:347.55pt;margin-top:-585.45pt;height:18pt;width:90pt;z-index:-251656192;mso-width-relative:page;mso-height-relative:page;"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8mKEdoAAAAPAQAADwAAAAAA&#10;AAABACAAAAAiAAAAZHJzL2Rvd25yZXYueG1sUEsBAhQAFAAAAAgAh07iQCJ/qgWfAQAAWQMAAA4A&#10;AAAAAAAAAQAgAAAAKQEAAGRycy9lMm9Eb2MueG1sUEsFBgAAAAAGAAYAWQEAADoFAAAAAA==&#10;">
            <v:path/>
            <v:fill focussize="0,0"/>
            <v:stroke on="f"/>
            <v:imagedata o:title=""/>
            <o:lock v:ext="edit"/>
          </v:rect>
        </w:pict>
      </w:r>
      <w:r>
        <w:rPr>
          <w:w w:val="100"/>
        </w:rPr>
        <w:pict>
          <v:line id="直线 11" o:spid="_x0000_s1027" o:spt="20" style="position:absolute;left:0pt;margin-left:-36.6pt;margin-top:-552.85pt;height:0pt;width:481.9pt;z-index:251659264;mso-width-relative:page;mso-height-relative:page;"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lkaDY&#10;AAAADwEAAA8AAAAAAAAAAQAgAAAAIgAAAGRycy9kb3ducmV2LnhtbFBLAQIUABQAAAAIAIdO4kAB&#10;DqeS5wEAANwDAAAOAAAAAAAAAAEAIAAAACcBAABkcnMvZTJvRG9jLnhtbFBLBQYAAAAABgAGAFkB&#10;AACABQAAAAA=&#10;">
            <v:path arrowok="t"/>
            <v:fill focussize="0,0"/>
            <v:stroke/>
            <v:imagedata o:title=""/>
            <o:lock v:ext="edit"/>
          </v:line>
        </w:pict>
      </w:r>
      <w:r>
        <w:fldChar w:fldCharType="begin">
          <w:ffData>
            <w:name w:val="fm"/>
            <w:enabled/>
            <w:calcOnExit w:val="0"/>
            <w:textInput/>
          </w:ffData>
        </w:fldChar>
      </w:r>
      <w:r>
        <w:instrText xml:space="preserve"> FORMTEXT </w:instrText>
      </w:r>
      <w:r>
        <w:fldChar w:fldCharType="separate"/>
      </w:r>
      <w:r>
        <w:rPr>
          <w:rFonts w:hint="eastAsia"/>
        </w:rPr>
        <w:t>乐山市市场监督管理局</w:t>
      </w:r>
      <w:r>
        <w:fldChar w:fldCharType="end"/>
      </w:r>
      <w:bookmarkEnd w:id="16"/>
      <w:r>
        <w:t>   </w:t>
      </w:r>
      <w:r>
        <w:rPr>
          <w:rStyle w:val="75"/>
          <w:rFonts w:hint="eastAsia"/>
        </w:rPr>
        <w:t>发布</w:t>
      </w:r>
    </w:p>
    <w:p>
      <w:pPr>
        <w:pStyle w:val="21"/>
        <w:sectPr>
          <w:pgSz w:w="11906" w:h="16838"/>
          <w:pgMar w:top="567" w:right="850" w:bottom="1134" w:left="1418" w:header="0" w:footer="0" w:gutter="0"/>
          <w:pgNumType w:fmt="upperRoman" w:start="1"/>
          <w:cols w:space="720" w:num="1"/>
          <w:docGrid w:type="lines" w:linePitch="312" w:charSpace="0"/>
        </w:sectPr>
      </w:pPr>
    </w:p>
    <w:p>
      <w:pPr>
        <w:pStyle w:val="52"/>
      </w:pPr>
      <w:bookmarkStart w:id="17" w:name="_Toc28438"/>
      <w:bookmarkStart w:id="18" w:name="_Toc341647451"/>
      <w:bookmarkStart w:id="19" w:name="_Toc14892"/>
      <w:bookmarkStart w:id="20" w:name="_Toc341647374"/>
      <w:bookmarkStart w:id="21" w:name="_Toc342655626"/>
      <w:bookmarkStart w:id="22" w:name="_Toc13272"/>
      <w:bookmarkStart w:id="23" w:name="_Toc338682293"/>
      <w:bookmarkStart w:id="24" w:name="_Toc341647274"/>
      <w:bookmarkStart w:id="25" w:name="_Toc31849"/>
      <w:bookmarkStart w:id="26" w:name="_Toc328591618"/>
      <w:bookmarkStart w:id="27" w:name="_Toc327218847"/>
      <w:bookmarkStart w:id="28" w:name="_Toc322681013"/>
      <w:bookmarkStart w:id="29" w:name="_Toc327186739"/>
      <w:bookmarkStart w:id="30" w:name="_Toc331066418"/>
      <w:bookmarkStart w:id="31" w:name="_Toc331094150"/>
      <w:bookmarkStart w:id="32" w:name="_Toc326569840"/>
      <w:bookmarkStart w:id="33" w:name="_Toc322681113"/>
      <w:bookmarkStart w:id="34" w:name="_Toc328988264"/>
      <w:bookmarkStart w:id="35" w:name="_Toc322615437"/>
      <w:bookmarkStart w:id="36" w:name="_Toc325953869"/>
      <w:bookmarkStart w:id="37" w:name="_Toc330997879"/>
      <w:r>
        <w:rPr>
          <w:rFonts w:hint="eastAsia"/>
        </w:rPr>
        <w:t>目</w:t>
      </w:r>
      <w:bookmarkStart w:id="38" w:name="BKML"/>
      <w:r>
        <w:rPr>
          <w:rFonts w:hAnsi="黑体"/>
        </w:rPr>
        <w:t>  </w:t>
      </w:r>
      <w:r>
        <w:rPr>
          <w:rFonts w:hint="eastAsia"/>
        </w:rPr>
        <w:t>次</w:t>
      </w:r>
      <w:bookmarkEnd w:id="17"/>
      <w:bookmarkEnd w:id="18"/>
      <w:bookmarkEnd w:id="19"/>
      <w:bookmarkEnd w:id="20"/>
      <w:bookmarkEnd w:id="21"/>
      <w:bookmarkEnd w:id="22"/>
      <w:bookmarkEnd w:id="23"/>
      <w:bookmarkEnd w:id="24"/>
      <w:bookmarkEnd w:id="25"/>
      <w:bookmarkEnd w:id="38"/>
    </w:p>
    <w:p>
      <w:pPr>
        <w:pStyle w:val="17"/>
        <w:tabs>
          <w:tab w:val="right" w:leader="dot" w:pos="9354"/>
          <w:tab w:val="clear" w:pos="9241"/>
        </w:tabs>
        <w:spacing w:before="78" w:after="78"/>
      </w:pPr>
      <w:r>
        <w:fldChar w:fldCharType="begin"/>
      </w:r>
      <w:r>
        <w:rPr>
          <w:rFonts w:hint="eastAsia"/>
        </w:rPr>
        <w:instrText xml:space="preserve">TOC  \* MERGEFORMAT</w:instrText>
      </w:r>
      <w:r>
        <w:fldChar w:fldCharType="separate"/>
      </w:r>
      <w:r>
        <w:rPr>
          <w:rFonts w:hint="eastAsia"/>
        </w:rPr>
        <w:t>前</w:t>
      </w:r>
      <w:r>
        <w:t>  </w:t>
      </w:r>
      <w:r>
        <w:rPr>
          <w:rFonts w:hint="eastAsia"/>
        </w:rPr>
        <w:t>言</w:t>
      </w:r>
      <w:r>
        <w:tab/>
      </w:r>
      <w:r>
        <w:fldChar w:fldCharType="begin"/>
      </w:r>
      <w:r>
        <w:instrText xml:space="preserve"> PAGEREF _Toc8014 \h </w:instrText>
      </w:r>
      <w:r>
        <w:fldChar w:fldCharType="separate"/>
      </w:r>
      <w:r>
        <w:t>2</w:t>
      </w:r>
      <w:r>
        <w:fldChar w:fldCharType="end"/>
      </w:r>
    </w:p>
    <w:p>
      <w:pPr>
        <w:pStyle w:val="17"/>
        <w:tabs>
          <w:tab w:val="right" w:leader="dot" w:pos="9354"/>
          <w:tab w:val="clear" w:pos="9241"/>
        </w:tabs>
        <w:spacing w:before="78" w:after="78"/>
      </w:pPr>
      <w:r>
        <w:rPr>
          <w:rFonts w:hint="eastAsia"/>
        </w:rPr>
        <w:t>引</w:t>
      </w:r>
      <w:r>
        <w:t>  </w:t>
      </w:r>
      <w:r>
        <w:rPr>
          <w:rFonts w:hint="eastAsia"/>
        </w:rPr>
        <w:t>言</w:t>
      </w:r>
      <w:r>
        <w:tab/>
      </w:r>
      <w:r>
        <w:fldChar w:fldCharType="begin"/>
      </w:r>
      <w:r>
        <w:instrText xml:space="preserve"> PAGEREF _Toc7362 \h </w:instrText>
      </w:r>
      <w:r>
        <w:fldChar w:fldCharType="separate"/>
      </w:r>
      <w:r>
        <w:t>3</w:t>
      </w:r>
      <w:r>
        <w:fldChar w:fldCharType="end"/>
      </w:r>
    </w:p>
    <w:p>
      <w:pPr>
        <w:pStyle w:val="26"/>
        <w:tabs>
          <w:tab w:val="right" w:leader="dot" w:pos="9354"/>
          <w:tab w:val="clear" w:pos="9241"/>
        </w:tabs>
      </w:pPr>
      <w:r>
        <w:rPr>
          <w:rFonts w:hint="eastAsia" w:ascii="黑体" w:eastAsia="黑体"/>
        </w:rPr>
        <w:t xml:space="preserve">1 </w:t>
      </w:r>
      <w:r>
        <w:rPr>
          <w:rFonts w:hint="eastAsia"/>
        </w:rPr>
        <w:t>范围</w:t>
      </w:r>
      <w:r>
        <w:tab/>
      </w:r>
      <w:r>
        <w:fldChar w:fldCharType="begin"/>
      </w:r>
      <w:r>
        <w:instrText xml:space="preserve"> PAGEREF _Toc16565 \h </w:instrText>
      </w:r>
      <w:r>
        <w:fldChar w:fldCharType="separate"/>
      </w:r>
      <w:r>
        <w:t>4</w:t>
      </w:r>
      <w:r>
        <w:fldChar w:fldCharType="end"/>
      </w:r>
    </w:p>
    <w:p>
      <w:pPr>
        <w:pStyle w:val="26"/>
        <w:tabs>
          <w:tab w:val="right" w:leader="dot" w:pos="9354"/>
          <w:tab w:val="clear" w:pos="9241"/>
        </w:tabs>
      </w:pPr>
      <w:r>
        <w:rPr>
          <w:rFonts w:hint="eastAsia" w:ascii="黑体" w:eastAsia="黑体"/>
        </w:rPr>
        <w:t xml:space="preserve">2 </w:t>
      </w:r>
      <w:r>
        <w:rPr>
          <w:rFonts w:hint="eastAsia"/>
        </w:rPr>
        <w:t>规范性引用文件</w:t>
      </w:r>
      <w:r>
        <w:tab/>
      </w:r>
      <w:r>
        <w:fldChar w:fldCharType="begin"/>
      </w:r>
      <w:r>
        <w:instrText xml:space="preserve"> PAGEREF _Toc26579 \h </w:instrText>
      </w:r>
      <w:r>
        <w:fldChar w:fldCharType="separate"/>
      </w:r>
      <w:r>
        <w:t>4</w:t>
      </w:r>
      <w:r>
        <w:fldChar w:fldCharType="end"/>
      </w:r>
    </w:p>
    <w:p>
      <w:pPr>
        <w:pStyle w:val="26"/>
        <w:tabs>
          <w:tab w:val="right" w:leader="dot" w:pos="9354"/>
          <w:tab w:val="clear" w:pos="9241"/>
        </w:tabs>
      </w:pPr>
      <w:r>
        <w:rPr>
          <w:rFonts w:hint="eastAsia" w:ascii="黑体" w:eastAsia="黑体"/>
        </w:rPr>
        <w:t xml:space="preserve">3 </w:t>
      </w:r>
      <w:r>
        <w:rPr>
          <w:rFonts w:hint="eastAsia" w:hAnsi="宋体"/>
        </w:rPr>
        <w:t>术语和定义</w:t>
      </w:r>
      <w:r>
        <w:tab/>
      </w:r>
      <w:r>
        <w:fldChar w:fldCharType="begin"/>
      </w:r>
      <w:r>
        <w:instrText xml:space="preserve"> PAGEREF _Toc32026 \h </w:instrText>
      </w:r>
      <w:r>
        <w:fldChar w:fldCharType="separate"/>
      </w:r>
      <w:r>
        <w:t>4</w:t>
      </w:r>
      <w:r>
        <w:fldChar w:fldCharType="end"/>
      </w:r>
    </w:p>
    <w:p>
      <w:pPr>
        <w:pStyle w:val="10"/>
        <w:tabs>
          <w:tab w:val="right" w:leader="dot" w:pos="9354"/>
          <w:tab w:val="clear" w:pos="9241"/>
        </w:tabs>
        <w:ind w:firstLine="210"/>
      </w:pPr>
      <w:r>
        <w:rPr>
          <w:rFonts w:hint="eastAsia" w:ascii="黑体" w:eastAsia="黑体"/>
          <w:kern w:val="0"/>
        </w:rPr>
        <w:t xml:space="preserve">3.1 </w:t>
      </w:r>
      <w:r>
        <w:rPr>
          <w:rFonts w:hint="eastAsia" w:hAnsi="宋体"/>
        </w:rPr>
        <w:t>乐山钵钵鸡</w:t>
      </w:r>
      <w:r>
        <w:tab/>
      </w:r>
      <w:r>
        <w:fldChar w:fldCharType="begin"/>
      </w:r>
      <w:r>
        <w:instrText xml:space="preserve"> PAGEREF _Toc14870 \h </w:instrText>
      </w:r>
      <w:r>
        <w:fldChar w:fldCharType="separate"/>
      </w:r>
      <w:r>
        <w:t>4</w:t>
      </w:r>
      <w:r>
        <w:fldChar w:fldCharType="end"/>
      </w:r>
    </w:p>
    <w:p>
      <w:pPr>
        <w:pStyle w:val="26"/>
        <w:tabs>
          <w:tab w:val="right" w:leader="dot" w:pos="9354"/>
          <w:tab w:val="clear" w:pos="9241"/>
        </w:tabs>
      </w:pPr>
      <w:r>
        <w:rPr>
          <w:rFonts w:hint="eastAsia" w:ascii="黑体" w:eastAsia="黑体"/>
        </w:rPr>
        <w:t xml:space="preserve">4 </w:t>
      </w:r>
      <w:r>
        <w:rPr>
          <w:rFonts w:hint="eastAsia" w:hAnsi="宋体"/>
        </w:rPr>
        <w:t>配方及食材选用要求</w:t>
      </w:r>
      <w:r>
        <w:tab/>
      </w:r>
      <w:r>
        <w:fldChar w:fldCharType="begin"/>
      </w:r>
      <w:r>
        <w:instrText xml:space="preserve"> PAGEREF _Toc30364 \h </w:instrText>
      </w:r>
      <w:r>
        <w:fldChar w:fldCharType="separate"/>
      </w:r>
      <w:r>
        <w:t>4</w:t>
      </w:r>
      <w:r>
        <w:fldChar w:fldCharType="end"/>
      </w:r>
    </w:p>
    <w:p>
      <w:pPr>
        <w:pStyle w:val="10"/>
        <w:tabs>
          <w:tab w:val="right" w:leader="dot" w:pos="9354"/>
          <w:tab w:val="clear" w:pos="9241"/>
        </w:tabs>
        <w:ind w:firstLine="210"/>
      </w:pPr>
      <w:r>
        <w:rPr>
          <w:rFonts w:hint="eastAsia" w:ascii="黑体" w:eastAsia="黑体"/>
          <w:kern w:val="0"/>
        </w:rPr>
        <w:t xml:space="preserve">4.1 </w:t>
      </w:r>
      <w:r>
        <w:rPr>
          <w:rFonts w:hint="eastAsia" w:hAnsi="宋体"/>
        </w:rPr>
        <w:t>配方</w:t>
      </w:r>
      <w:r>
        <w:tab/>
      </w:r>
      <w:r>
        <w:fldChar w:fldCharType="begin"/>
      </w:r>
      <w:r>
        <w:instrText xml:space="preserve"> PAGEREF _Toc26825 \h </w:instrText>
      </w:r>
      <w:r>
        <w:fldChar w:fldCharType="separate"/>
      </w:r>
      <w:r>
        <w:t>4</w:t>
      </w:r>
      <w:r>
        <w:fldChar w:fldCharType="end"/>
      </w:r>
    </w:p>
    <w:p>
      <w:pPr>
        <w:pStyle w:val="10"/>
        <w:tabs>
          <w:tab w:val="right" w:leader="dot" w:pos="9354"/>
          <w:tab w:val="clear" w:pos="9241"/>
        </w:tabs>
        <w:ind w:firstLine="210"/>
      </w:pPr>
      <w:r>
        <w:rPr>
          <w:rFonts w:hint="eastAsia" w:ascii="黑体" w:eastAsia="黑体"/>
          <w:kern w:val="0"/>
        </w:rPr>
        <w:t xml:space="preserve">4.2 </w:t>
      </w:r>
      <w:r>
        <w:rPr>
          <w:rFonts w:hint="eastAsia" w:hAnsi="宋体"/>
        </w:rPr>
        <w:t>食材选用要求</w:t>
      </w:r>
      <w:r>
        <w:tab/>
      </w:r>
      <w:r>
        <w:fldChar w:fldCharType="begin"/>
      </w:r>
      <w:r>
        <w:instrText xml:space="preserve"> PAGEREF _Toc21620 \h </w:instrText>
      </w:r>
      <w:r>
        <w:fldChar w:fldCharType="separate"/>
      </w:r>
      <w:r>
        <w:t>5</w:t>
      </w:r>
      <w:r>
        <w:fldChar w:fldCharType="end"/>
      </w:r>
    </w:p>
    <w:p>
      <w:pPr>
        <w:pStyle w:val="26"/>
        <w:tabs>
          <w:tab w:val="right" w:leader="dot" w:pos="9354"/>
          <w:tab w:val="clear" w:pos="9241"/>
        </w:tabs>
      </w:pPr>
      <w:r>
        <w:rPr>
          <w:rFonts w:hint="eastAsia" w:ascii="黑体" w:eastAsia="黑体"/>
        </w:rPr>
        <w:t xml:space="preserve">5 </w:t>
      </w:r>
      <w:r>
        <w:rPr>
          <w:rFonts w:hint="eastAsia" w:hAnsi="宋体"/>
        </w:rPr>
        <w:t>制作工艺及要求</w:t>
      </w:r>
      <w:r>
        <w:tab/>
      </w:r>
      <w:r>
        <w:fldChar w:fldCharType="begin"/>
      </w:r>
      <w:r>
        <w:instrText xml:space="preserve"> PAGEREF _Toc24207 \h </w:instrText>
      </w:r>
      <w:r>
        <w:fldChar w:fldCharType="separate"/>
      </w:r>
      <w:r>
        <w:t>7</w:t>
      </w:r>
      <w:r>
        <w:fldChar w:fldCharType="end"/>
      </w:r>
    </w:p>
    <w:p>
      <w:pPr>
        <w:pStyle w:val="10"/>
        <w:tabs>
          <w:tab w:val="right" w:leader="dot" w:pos="9354"/>
          <w:tab w:val="clear" w:pos="9241"/>
        </w:tabs>
        <w:ind w:firstLine="210"/>
      </w:pPr>
      <w:r>
        <w:rPr>
          <w:rFonts w:hint="eastAsia" w:ascii="黑体" w:eastAsia="黑体"/>
          <w:kern w:val="0"/>
        </w:rPr>
        <w:t xml:space="preserve">5.1 </w:t>
      </w:r>
      <w:r>
        <w:rPr>
          <w:rFonts w:hint="eastAsia"/>
        </w:rPr>
        <w:t>制作工艺</w:t>
      </w:r>
      <w:r>
        <w:tab/>
      </w:r>
      <w:r>
        <w:fldChar w:fldCharType="begin"/>
      </w:r>
      <w:r>
        <w:instrText xml:space="preserve"> PAGEREF _Toc24025 \h </w:instrText>
      </w:r>
      <w:r>
        <w:fldChar w:fldCharType="separate"/>
      </w:r>
      <w:r>
        <w:t>7</w:t>
      </w:r>
      <w:r>
        <w:fldChar w:fldCharType="end"/>
      </w:r>
    </w:p>
    <w:p>
      <w:pPr>
        <w:pStyle w:val="10"/>
        <w:tabs>
          <w:tab w:val="right" w:leader="dot" w:pos="9354"/>
          <w:tab w:val="clear" w:pos="9241"/>
        </w:tabs>
        <w:ind w:firstLine="210"/>
      </w:pPr>
      <w:r>
        <w:rPr>
          <w:rFonts w:hint="eastAsia" w:ascii="黑体" w:eastAsia="黑体"/>
          <w:kern w:val="0"/>
        </w:rPr>
        <w:t xml:space="preserve">5.2 </w:t>
      </w:r>
      <w:r>
        <w:rPr>
          <w:rFonts w:hint="eastAsia"/>
        </w:rPr>
        <w:t>制作要求</w:t>
      </w:r>
      <w:r>
        <w:tab/>
      </w:r>
      <w:r>
        <w:fldChar w:fldCharType="begin"/>
      </w:r>
      <w:r>
        <w:instrText xml:space="preserve"> PAGEREF _Toc24964 \h </w:instrText>
      </w:r>
      <w:r>
        <w:fldChar w:fldCharType="separate"/>
      </w:r>
      <w:r>
        <w:t>7</w:t>
      </w:r>
      <w:r>
        <w:fldChar w:fldCharType="end"/>
      </w:r>
    </w:p>
    <w:p>
      <w:pPr>
        <w:pStyle w:val="26"/>
        <w:tabs>
          <w:tab w:val="right" w:leader="dot" w:pos="9354"/>
          <w:tab w:val="clear" w:pos="9241"/>
        </w:tabs>
      </w:pPr>
      <w:r>
        <w:rPr>
          <w:rFonts w:hint="eastAsia" w:ascii="黑体" w:eastAsia="黑体"/>
        </w:rPr>
        <w:t xml:space="preserve">6 </w:t>
      </w:r>
      <w:r>
        <w:rPr>
          <w:rFonts w:hint="eastAsia"/>
        </w:rPr>
        <w:t>质量要求</w:t>
      </w:r>
      <w:r>
        <w:tab/>
      </w:r>
      <w:r>
        <w:fldChar w:fldCharType="begin"/>
      </w:r>
      <w:r>
        <w:instrText xml:space="preserve"> PAGEREF _Toc5695 \h </w:instrText>
      </w:r>
      <w:r>
        <w:fldChar w:fldCharType="separate"/>
      </w:r>
      <w:r>
        <w:t>7</w:t>
      </w:r>
      <w:r>
        <w:fldChar w:fldCharType="end"/>
      </w:r>
    </w:p>
    <w:p>
      <w:pPr>
        <w:pStyle w:val="10"/>
        <w:tabs>
          <w:tab w:val="right" w:leader="dot" w:pos="9354"/>
          <w:tab w:val="clear" w:pos="9241"/>
        </w:tabs>
        <w:ind w:firstLine="210"/>
      </w:pPr>
      <w:r>
        <w:rPr>
          <w:rFonts w:hint="eastAsia" w:ascii="黑体" w:eastAsia="黑体"/>
          <w:kern w:val="0"/>
        </w:rPr>
        <w:t xml:space="preserve">6.1 </w:t>
      </w:r>
      <w:r>
        <w:rPr>
          <w:rFonts w:hint="eastAsia"/>
        </w:rPr>
        <w:t>味型要求</w:t>
      </w:r>
      <w:r>
        <w:tab/>
      </w:r>
      <w:r>
        <w:fldChar w:fldCharType="begin"/>
      </w:r>
      <w:r>
        <w:instrText xml:space="preserve"> PAGEREF _Toc9147 \h </w:instrText>
      </w:r>
      <w:r>
        <w:fldChar w:fldCharType="separate"/>
      </w:r>
      <w:r>
        <w:t>7</w:t>
      </w:r>
      <w:r>
        <w:fldChar w:fldCharType="end"/>
      </w:r>
    </w:p>
    <w:p>
      <w:pPr>
        <w:pStyle w:val="10"/>
        <w:tabs>
          <w:tab w:val="right" w:leader="dot" w:pos="9354"/>
          <w:tab w:val="clear" w:pos="9241"/>
        </w:tabs>
        <w:ind w:firstLine="210"/>
      </w:pPr>
      <w:r>
        <w:rPr>
          <w:rFonts w:hint="eastAsia" w:ascii="黑体" w:eastAsia="黑体"/>
          <w:color w:val="000000"/>
          <w:kern w:val="0"/>
        </w:rPr>
        <w:t xml:space="preserve">6.2 </w:t>
      </w:r>
      <w:r>
        <w:rPr>
          <w:rFonts w:hint="eastAsia"/>
        </w:rPr>
        <w:t>感官要求</w:t>
      </w:r>
      <w:r>
        <w:tab/>
      </w:r>
      <w:r>
        <w:fldChar w:fldCharType="begin"/>
      </w:r>
      <w:r>
        <w:instrText xml:space="preserve"> PAGEREF _Toc29278 \h </w:instrText>
      </w:r>
      <w:r>
        <w:fldChar w:fldCharType="separate"/>
      </w:r>
      <w:r>
        <w:t>7</w:t>
      </w:r>
      <w:r>
        <w:fldChar w:fldCharType="end"/>
      </w:r>
    </w:p>
    <w:p>
      <w:pPr>
        <w:pStyle w:val="10"/>
        <w:tabs>
          <w:tab w:val="right" w:leader="dot" w:pos="9354"/>
          <w:tab w:val="clear" w:pos="9241"/>
        </w:tabs>
        <w:ind w:firstLine="210"/>
      </w:pPr>
      <w:r>
        <w:rPr>
          <w:rFonts w:hint="eastAsia" w:ascii="黑体" w:eastAsia="黑体"/>
          <w:color w:val="000000"/>
          <w:kern w:val="0"/>
        </w:rPr>
        <w:t xml:space="preserve">6.3 </w:t>
      </w:r>
      <w:r>
        <w:rPr>
          <w:rFonts w:hint="eastAsia"/>
        </w:rPr>
        <w:t>出品温度及时间要求</w:t>
      </w:r>
      <w:r>
        <w:tab/>
      </w:r>
      <w:r>
        <w:fldChar w:fldCharType="begin"/>
      </w:r>
      <w:r>
        <w:instrText xml:space="preserve"> PAGEREF _Toc932 \h </w:instrText>
      </w:r>
      <w:r>
        <w:fldChar w:fldCharType="separate"/>
      </w:r>
      <w:r>
        <w:t>8</w:t>
      </w:r>
      <w:r>
        <w:fldChar w:fldCharType="end"/>
      </w:r>
    </w:p>
    <w:p>
      <w:pPr>
        <w:pStyle w:val="26"/>
        <w:tabs>
          <w:tab w:val="right" w:leader="dot" w:pos="9354"/>
          <w:tab w:val="clear" w:pos="9241"/>
        </w:tabs>
      </w:pPr>
      <w:r>
        <w:rPr>
          <w:rFonts w:hint="eastAsia" w:ascii="黑体" w:eastAsia="黑体"/>
        </w:rPr>
        <w:t xml:space="preserve">7 </w:t>
      </w:r>
      <w:r>
        <w:rPr>
          <w:rFonts w:hint="eastAsia"/>
        </w:rPr>
        <w:t>卫生要求</w:t>
      </w:r>
      <w:r>
        <w:tab/>
      </w:r>
      <w:r>
        <w:fldChar w:fldCharType="begin"/>
      </w:r>
      <w:r>
        <w:instrText xml:space="preserve"> PAGEREF _Toc28918 \h </w:instrText>
      </w:r>
      <w:r>
        <w:fldChar w:fldCharType="separate"/>
      </w:r>
      <w:r>
        <w:t>8</w:t>
      </w:r>
      <w:r>
        <w:fldChar w:fldCharType="end"/>
      </w:r>
    </w:p>
    <w:p>
      <w:pPr>
        <w:pStyle w:val="26"/>
        <w:tabs>
          <w:tab w:val="right" w:leader="dot" w:pos="9354"/>
          <w:tab w:val="clear" w:pos="9241"/>
        </w:tabs>
      </w:pPr>
      <w:r>
        <w:rPr>
          <w:rFonts w:hint="eastAsia" w:ascii="黑体" w:eastAsia="黑体"/>
        </w:rPr>
        <w:t xml:space="preserve">8 </w:t>
      </w:r>
      <w:r>
        <w:rPr>
          <w:rFonts w:hint="eastAsia"/>
        </w:rPr>
        <w:t>服务要求</w:t>
      </w:r>
      <w:r>
        <w:tab/>
      </w:r>
      <w:r>
        <w:fldChar w:fldCharType="begin"/>
      </w:r>
      <w:r>
        <w:instrText xml:space="preserve"> PAGEREF _Toc15233 \h </w:instrText>
      </w:r>
      <w:r>
        <w:fldChar w:fldCharType="separate"/>
      </w:r>
      <w:r>
        <w:t>8</w:t>
      </w:r>
      <w:r>
        <w:fldChar w:fldCharType="end"/>
      </w:r>
    </w:p>
    <w:p>
      <w:pPr>
        <w:pStyle w:val="26"/>
        <w:tabs>
          <w:tab w:val="right" w:leader="dot" w:pos="9354"/>
          <w:tab w:val="clear" w:pos="9241"/>
        </w:tabs>
      </w:pPr>
      <w:r>
        <w:rPr>
          <w:rFonts w:hint="eastAsia" w:ascii="黑体" w:eastAsia="黑体"/>
          <w:color w:val="000000"/>
        </w:rPr>
        <w:t xml:space="preserve">9 </w:t>
      </w:r>
      <w:r>
        <w:rPr>
          <w:rFonts w:hint="eastAsia"/>
        </w:rPr>
        <w:t>检验要求</w:t>
      </w:r>
      <w:r>
        <w:tab/>
      </w:r>
      <w:r>
        <w:fldChar w:fldCharType="begin"/>
      </w:r>
      <w:r>
        <w:instrText xml:space="preserve"> PAGEREF _Toc650 \h </w:instrText>
      </w:r>
      <w:r>
        <w:fldChar w:fldCharType="separate"/>
      </w:r>
      <w:r>
        <w:t>8</w:t>
      </w:r>
      <w:r>
        <w:fldChar w:fldCharType="end"/>
      </w:r>
    </w:p>
    <w:p>
      <w:pPr>
        <w:pStyle w:val="10"/>
        <w:tabs>
          <w:tab w:val="right" w:leader="dot" w:pos="9354"/>
          <w:tab w:val="clear" w:pos="9241"/>
        </w:tabs>
        <w:ind w:firstLine="210"/>
      </w:pPr>
      <w:r>
        <w:rPr>
          <w:rFonts w:hint="eastAsia" w:ascii="黑体" w:eastAsia="黑体"/>
          <w:kern w:val="0"/>
        </w:rPr>
        <w:t xml:space="preserve">9.1 </w:t>
      </w:r>
      <w:r>
        <w:rPr>
          <w:rFonts w:hint="eastAsia" w:hAnsi="宋体"/>
        </w:rPr>
        <w:t>出菜检验</w:t>
      </w:r>
      <w:r>
        <w:tab/>
      </w:r>
      <w:r>
        <w:fldChar w:fldCharType="begin"/>
      </w:r>
      <w:r>
        <w:instrText xml:space="preserve"> PAGEREF _Toc24286 \h </w:instrText>
      </w:r>
      <w:r>
        <w:fldChar w:fldCharType="separate"/>
      </w:r>
      <w:r>
        <w:t>8</w:t>
      </w:r>
      <w:r>
        <w:fldChar w:fldCharType="end"/>
      </w:r>
    </w:p>
    <w:p>
      <w:pPr>
        <w:pStyle w:val="10"/>
        <w:tabs>
          <w:tab w:val="right" w:leader="dot" w:pos="9354"/>
          <w:tab w:val="clear" w:pos="9241"/>
        </w:tabs>
        <w:ind w:firstLine="210"/>
      </w:pPr>
      <w:r>
        <w:rPr>
          <w:rFonts w:hint="eastAsia" w:ascii="黑体" w:eastAsia="黑体"/>
          <w:kern w:val="0"/>
        </w:rPr>
        <w:t xml:space="preserve">9.2 </w:t>
      </w:r>
      <w:r>
        <w:rPr>
          <w:rFonts w:hint="eastAsia" w:hAnsi="宋体"/>
        </w:rPr>
        <w:t>验收检验</w:t>
      </w:r>
      <w:r>
        <w:tab/>
      </w:r>
      <w:r>
        <w:fldChar w:fldCharType="begin"/>
      </w:r>
      <w:r>
        <w:instrText xml:space="preserve"> PAGEREF _Toc1346 \h </w:instrText>
      </w:r>
      <w:r>
        <w:fldChar w:fldCharType="separate"/>
      </w:r>
      <w:r>
        <w:t>8</w:t>
      </w:r>
      <w:r>
        <w:fldChar w:fldCharType="end"/>
      </w:r>
    </w:p>
    <w:p>
      <w:pPr>
        <w:pStyle w:val="21"/>
      </w:pPr>
      <w:r>
        <w:fldChar w:fldCharType="end"/>
      </w:r>
    </w:p>
    <w:p>
      <w:pPr>
        <w:pStyle w:val="115"/>
      </w:pPr>
      <w:bookmarkStart w:id="39" w:name="_Toc333435264"/>
      <w:bookmarkStart w:id="40" w:name="_Toc341647375"/>
      <w:bookmarkStart w:id="41" w:name="_Toc8014"/>
      <w:bookmarkStart w:id="42" w:name="_Toc338683318"/>
      <w:bookmarkStart w:id="43" w:name="_Toc338682294"/>
      <w:bookmarkStart w:id="44" w:name="_Toc341647275"/>
      <w:r>
        <w:rPr>
          <w:rFonts w:hint="eastAsia"/>
        </w:rPr>
        <w:t>前</w:t>
      </w:r>
      <w:bookmarkStart w:id="45" w:name="BKQY"/>
      <w:r>
        <w:t>  </w:t>
      </w:r>
      <w:r>
        <w:rPr>
          <w:rFonts w:hint="eastAsia"/>
        </w:rPr>
        <w:t>言</w:t>
      </w:r>
      <w:bookmarkEnd w:id="26"/>
      <w:bookmarkEnd w:id="27"/>
      <w:bookmarkEnd w:id="28"/>
      <w:bookmarkEnd w:id="29"/>
      <w:bookmarkEnd w:id="30"/>
      <w:bookmarkEnd w:id="31"/>
      <w:bookmarkEnd w:id="32"/>
      <w:bookmarkEnd w:id="33"/>
      <w:bookmarkEnd w:id="34"/>
      <w:bookmarkEnd w:id="35"/>
      <w:bookmarkEnd w:id="36"/>
      <w:bookmarkEnd w:id="37"/>
      <w:bookmarkEnd w:id="39"/>
      <w:bookmarkEnd w:id="40"/>
      <w:bookmarkEnd w:id="41"/>
      <w:bookmarkEnd w:id="42"/>
      <w:bookmarkEnd w:id="43"/>
      <w:bookmarkEnd w:id="44"/>
      <w:bookmarkEnd w:id="45"/>
    </w:p>
    <w:p>
      <w:pPr>
        <w:pStyle w:val="21"/>
        <w:spacing w:line="360" w:lineRule="exact"/>
      </w:pPr>
      <w:r>
        <w:rPr>
          <w:rFonts w:hint="eastAsia"/>
        </w:rPr>
        <w:t>本文件包括嘉州菜 牛华麻辣烫制作工艺规范。</w:t>
      </w:r>
    </w:p>
    <w:p>
      <w:pPr>
        <w:pStyle w:val="21"/>
        <w:spacing w:line="360" w:lineRule="exact"/>
      </w:pPr>
      <w:r>
        <w:rPr>
          <w:rFonts w:hint="eastAsia"/>
        </w:rPr>
        <w:t>本文件按GB/T 1.1-2020《标准化工作导则 第1部分：标准化文件的结构和起草规则》的规定起草。</w:t>
      </w:r>
    </w:p>
    <w:p>
      <w:pPr>
        <w:pStyle w:val="21"/>
        <w:spacing w:line="360" w:lineRule="exact"/>
      </w:pPr>
      <w:r>
        <w:rPr>
          <w:rFonts w:hint="eastAsia"/>
        </w:rPr>
        <w:t>本文件由乐山市商务局提出并归口。</w:t>
      </w:r>
    </w:p>
    <w:p>
      <w:pPr>
        <w:pStyle w:val="21"/>
        <w:spacing w:line="360" w:lineRule="exact"/>
      </w:pPr>
      <w:r>
        <w:rPr>
          <w:rFonts w:hint="eastAsia"/>
        </w:rPr>
        <w:t>本文件由四川省乐山市市场监督管理局批准。</w:t>
      </w:r>
    </w:p>
    <w:p>
      <w:pPr>
        <w:pStyle w:val="21"/>
        <w:spacing w:line="360" w:lineRule="exact"/>
      </w:pPr>
      <w:r>
        <w:rPr>
          <w:rFonts w:hint="eastAsia"/>
        </w:rPr>
        <w:t>本文件起草单位：乐山市嘉州美食文化研究院、四川旅游学院川菜发展研究中心、四川省川菜标准化技术委员会、乐山市五通桥绿缘麻辣烫、乐山市市中区佳园麻辣烫店、乐山市中心城区熊家婆麻辣烫里仁街店、乐山职业技术学院旅游系、乐山市第一职业高级中学旅游专业部</w:t>
      </w:r>
    </w:p>
    <w:p>
      <w:pPr>
        <w:pStyle w:val="21"/>
        <w:spacing w:line="360" w:lineRule="exact"/>
      </w:pPr>
      <w:r>
        <w:rPr>
          <w:rFonts w:hint="eastAsia"/>
        </w:rPr>
        <w:t>本文件主要起草人：祝志高、陈祖明、陈丽兰、杜莉、代勇刚、徐园媛、邓加文、熊华锋、胡文才、陈晴</w:t>
      </w:r>
    </w:p>
    <w:p>
      <w:pPr>
        <w:pStyle w:val="21"/>
        <w:rPr>
          <w:rFonts w:ascii="Times New Roman"/>
          <w:kern w:val="2"/>
          <w:szCs w:val="24"/>
        </w:rPr>
      </w:pPr>
      <w:bookmarkStart w:id="46" w:name="BKYY"/>
      <w:bookmarkEnd w:id="46"/>
    </w:p>
    <w:p>
      <w:pPr>
        <w:pStyle w:val="115"/>
        <w:rPr>
          <w:color w:val="FF0000"/>
        </w:rPr>
      </w:pPr>
      <w:bookmarkStart w:id="47" w:name="_Toc7362"/>
      <w:r>
        <w:rPr>
          <w:rFonts w:hint="eastAsia"/>
        </w:rPr>
        <w:t>引</w:t>
      </w:r>
      <w:r>
        <w:t>  </w:t>
      </w:r>
      <w:r>
        <w:rPr>
          <w:rFonts w:hint="eastAsia"/>
        </w:rPr>
        <w:t>言</w:t>
      </w:r>
      <w:bookmarkEnd w:id="47"/>
    </w:p>
    <w:p>
      <w:pPr>
        <w:pStyle w:val="21"/>
        <w:rPr>
          <w:rFonts w:ascii="Times New Roman"/>
          <w:kern w:val="2"/>
          <w:szCs w:val="24"/>
        </w:rPr>
      </w:pPr>
    </w:p>
    <w:p>
      <w:pPr>
        <w:pStyle w:val="21"/>
        <w:spacing w:line="360" w:lineRule="exact"/>
        <w:rPr>
          <w:rFonts w:ascii="黑体" w:hAnsi="黑体" w:eastAsia="黑体" w:cs="黑体"/>
          <w:kern w:val="2"/>
          <w:szCs w:val="24"/>
        </w:rPr>
      </w:pPr>
      <w:r>
        <w:rPr>
          <w:rFonts w:hint="eastAsia" w:ascii="黑体" w:hAnsi="黑体" w:eastAsia="黑体" w:cs="黑体"/>
          <w:kern w:val="2"/>
          <w:szCs w:val="24"/>
        </w:rPr>
        <w:t>1 菜点源流</w:t>
      </w:r>
    </w:p>
    <w:p>
      <w:pPr>
        <w:pStyle w:val="21"/>
        <w:spacing w:line="360" w:lineRule="exact"/>
      </w:pPr>
      <w:r>
        <w:rPr>
          <w:rFonts w:hint="eastAsia"/>
        </w:rPr>
        <w:t>乐山五通桥是四川鼎鼎有名的“食府”之一，西坝豆腐、麻辣烫和豆腐脑都产于此，而该区的牛华镇，更是有着最佳麻辣烫和豆腐脑之称的“双料食府天堂”。牛华麻辣烫的汤汁以底油料、底干料、骨头汤熬制而成，麻辣烫的主料切制成型后穿在竹签上备用。麻辣烫的吃法不同于中餐菜，不是将已烹调好的菜肴端到桌子上就可以吃，而是把一些半成品菜品端到桌上，由食客操作(烹饪)，自烫自食。锅底红润飘香，肉类滑嫩爽口，碟料复合鲜香。</w:t>
      </w:r>
    </w:p>
    <w:p>
      <w:pPr>
        <w:pStyle w:val="21"/>
        <w:spacing w:line="360" w:lineRule="exact"/>
      </w:pPr>
      <w:r>
        <w:rPr>
          <w:rFonts w:hint="eastAsia"/>
        </w:rPr>
        <w:t>牛华麻辣烫美味可口，主料种类多样，包含蔬菜、肉制品、蛋制品、豆制品、食用菌类等，荤素搭配、植物蛋白与动物蛋白互补，营养均衡。</w:t>
      </w:r>
    </w:p>
    <w:p>
      <w:pPr>
        <w:pStyle w:val="21"/>
        <w:spacing w:line="360" w:lineRule="exact"/>
        <w:rPr>
          <w:rFonts w:ascii="黑体" w:hAnsi="黑体" w:eastAsia="黑体" w:cs="黑体"/>
          <w:kern w:val="2"/>
          <w:szCs w:val="24"/>
        </w:rPr>
      </w:pPr>
      <w:r>
        <w:rPr>
          <w:rFonts w:hint="eastAsia" w:ascii="黑体" w:hAnsi="黑体" w:eastAsia="黑体" w:cs="黑体"/>
          <w:kern w:val="2"/>
          <w:szCs w:val="24"/>
        </w:rPr>
        <w:t>2 菜点典型形态示例</w:t>
      </w:r>
    </w:p>
    <w:p>
      <w:pPr>
        <w:pStyle w:val="21"/>
        <w:spacing w:line="360" w:lineRule="exact"/>
        <w:rPr>
          <w:rFonts w:ascii="黑体" w:hAnsi="黑体" w:eastAsia="黑体" w:cs="黑体"/>
          <w:kern w:val="2"/>
          <w:szCs w:val="24"/>
        </w:rPr>
      </w:pPr>
    </w:p>
    <w:p>
      <w:pPr>
        <w:pStyle w:val="21"/>
        <w:jc w:val="center"/>
        <w:rPr>
          <w:rFonts w:ascii="黑体" w:hAnsi="黑体" w:eastAsia="黑体" w:cs="黑体"/>
          <w:kern w:val="2"/>
          <w:szCs w:val="24"/>
        </w:rPr>
      </w:pPr>
      <w:r>
        <w:rPr>
          <w:rFonts w:ascii="Times New Roman"/>
          <w:kern w:val="2"/>
          <w:szCs w:val="24"/>
        </w:rPr>
        <w:pict>
          <v:shape id="_x0000_i1025" o:spt="75" alt="mmexport1639028417878" type="#_x0000_t75" style="height:247.5pt;width:370.5pt;" filled="f" o:preferrelative="t" stroked="f" coordsize="21600,21600">
            <v:path/>
            <v:fill on="f" focussize="0,0"/>
            <v:stroke on="f" joinstyle="miter"/>
            <v:imagedata r:id="rId6" o:title="mmexport1639028417878"/>
            <o:lock v:ext="edit" aspectratio="t"/>
            <w10:wrap type="none"/>
            <w10:anchorlock/>
          </v:shape>
        </w:pict>
      </w:r>
    </w:p>
    <w:p>
      <w:pPr>
        <w:pStyle w:val="21"/>
        <w:spacing w:line="360" w:lineRule="exact"/>
        <w:ind w:firstLine="0" w:firstLineChars="0"/>
        <w:rPr>
          <w:rFonts w:ascii="黑体" w:hAnsi="黑体" w:eastAsia="黑体" w:cs="黑体"/>
          <w:kern w:val="2"/>
          <w:szCs w:val="24"/>
        </w:rPr>
      </w:pPr>
    </w:p>
    <w:p>
      <w:pPr>
        <w:pStyle w:val="52"/>
        <w:ind w:firstLine="420"/>
      </w:pPr>
      <w:bookmarkStart w:id="48" w:name="_Toc22661"/>
      <w:bookmarkStart w:id="49" w:name="_Toc29579"/>
      <w:bookmarkStart w:id="50" w:name="_Toc29349"/>
      <w:bookmarkStart w:id="51" w:name="_Toc15326"/>
      <w:r>
        <w:rPr>
          <w:rFonts w:hint="eastAsia"/>
        </w:rPr>
        <w:t>嘉</w:t>
      </w:r>
      <w:bookmarkStart w:id="52" w:name="StandardName"/>
      <w:r>
        <w:rPr>
          <w:rFonts w:hint="eastAsia"/>
        </w:rPr>
        <w:t xml:space="preserve">州菜 </w:t>
      </w:r>
      <w:bookmarkEnd w:id="48"/>
      <w:bookmarkEnd w:id="49"/>
      <w:bookmarkEnd w:id="50"/>
      <w:bookmarkEnd w:id="51"/>
      <w:bookmarkEnd w:id="52"/>
      <w:r>
        <w:rPr>
          <w:rFonts w:hint="eastAsia"/>
        </w:rPr>
        <w:t>牛华麻辣烫制作工艺规范</w:t>
      </w:r>
    </w:p>
    <w:p>
      <w:pPr>
        <w:pStyle w:val="47"/>
        <w:spacing w:before="312" w:after="312"/>
      </w:pPr>
      <w:bookmarkStart w:id="53" w:name="_Toc331094151"/>
      <w:bookmarkStart w:id="54" w:name="_Toc322681014"/>
      <w:bookmarkStart w:id="55" w:name="_Toc341647377"/>
      <w:bookmarkStart w:id="56" w:name="_Toc341647277"/>
      <w:bookmarkStart w:id="57" w:name="_Toc331066419"/>
      <w:bookmarkStart w:id="58" w:name="_Toc338683319"/>
      <w:bookmarkStart w:id="59" w:name="_Toc338682296"/>
      <w:bookmarkStart w:id="60" w:name="_Toc326569841"/>
      <w:bookmarkStart w:id="61" w:name="_Toc328591620"/>
      <w:bookmarkStart w:id="62" w:name="_Toc327186740"/>
      <w:bookmarkStart w:id="63" w:name="_Toc327218849"/>
      <w:bookmarkStart w:id="64" w:name="_Toc330997880"/>
      <w:bookmarkStart w:id="65" w:name="_Toc333435265"/>
      <w:bookmarkStart w:id="66" w:name="_Toc16565"/>
      <w:bookmarkStart w:id="67" w:name="_Toc325953870"/>
      <w:bookmarkStart w:id="68" w:name="_Toc322681114"/>
      <w:bookmarkStart w:id="69" w:name="_Toc322615438"/>
      <w:bookmarkStart w:id="70" w:name="_Toc328988266"/>
      <w:r>
        <w:rPr>
          <w:rFonts w:hint="eastAsia"/>
        </w:rPr>
        <w:t>范围</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21"/>
      </w:pPr>
      <w:r>
        <w:rPr>
          <w:rFonts w:hint="eastAsia"/>
        </w:rPr>
        <w:t>本文件规定了牛华麻辣烫在主要食材、制作工艺、质量、卫生、服务及</w:t>
      </w:r>
      <w:r>
        <w:rPr>
          <w:rFonts w:hint="eastAsia" w:hAnsi="宋体"/>
        </w:rPr>
        <w:t>检验</w:t>
      </w:r>
      <w:r>
        <w:rPr>
          <w:rFonts w:hint="eastAsia"/>
        </w:rPr>
        <w:t>方面的要求。</w:t>
      </w:r>
    </w:p>
    <w:p>
      <w:pPr>
        <w:pStyle w:val="21"/>
      </w:pPr>
      <w:r>
        <w:rPr>
          <w:rFonts w:hint="eastAsia"/>
        </w:rPr>
        <w:t>本文件适用于牛华麻辣烫的制作、检验、销售与教学。</w:t>
      </w:r>
    </w:p>
    <w:p>
      <w:pPr>
        <w:pStyle w:val="47"/>
        <w:spacing w:before="312" w:after="312"/>
      </w:pPr>
      <w:bookmarkStart w:id="71" w:name="_Toc328591622"/>
      <w:bookmarkStart w:id="72" w:name="_Toc327186742"/>
      <w:bookmarkStart w:id="73" w:name="_Toc341647278"/>
      <w:bookmarkStart w:id="74" w:name="_Toc327218851"/>
      <w:bookmarkStart w:id="75" w:name="_Toc322681116"/>
      <w:bookmarkStart w:id="76" w:name="_Toc338682297"/>
      <w:bookmarkStart w:id="77" w:name="_Toc325953872"/>
      <w:bookmarkStart w:id="78" w:name="_Toc322681016"/>
      <w:bookmarkStart w:id="79" w:name="_Toc331066420"/>
      <w:bookmarkStart w:id="80" w:name="_Toc341647378"/>
      <w:bookmarkStart w:id="81" w:name="_Toc338683320"/>
      <w:bookmarkStart w:id="82" w:name="_Toc26579"/>
      <w:bookmarkStart w:id="83" w:name="_Toc330997882"/>
      <w:bookmarkStart w:id="84" w:name="_Toc328988268"/>
      <w:bookmarkStart w:id="85" w:name="_Toc331094152"/>
      <w:bookmarkStart w:id="86" w:name="_Toc333435266"/>
      <w:bookmarkStart w:id="87" w:name="_Toc326569843"/>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21"/>
        <w:rPr>
          <w:rFonts w:hAnsi="宋体"/>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2707 食品安全国家标准 鲜（冻）畜、禽产品</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2721 食品安全国家标准 食用盐</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2762 食品安全国家标准 食品中污染物限量</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2763 食品安全国家标准 食品中农药最大残留限量</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5749 生活饮用水卫生标准</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 14881 食品安全国家标准 食品生产通用卫生规范</w:t>
      </w:r>
    </w:p>
    <w:p>
      <w:pPr>
        <w:adjustRightInd w:val="0"/>
        <w:snapToGrid w:val="0"/>
        <w:spacing w:line="360" w:lineRule="exact"/>
        <w:ind w:firstLine="420" w:firstLineChars="200"/>
        <w:rPr>
          <w:rFonts w:ascii="宋体" w:hAnsi="宋体"/>
          <w:kern w:val="0"/>
          <w:szCs w:val="20"/>
        </w:rPr>
      </w:pPr>
      <w:r>
        <w:rPr>
          <w:rFonts w:ascii="宋体" w:hAnsi="宋体"/>
          <w:kern w:val="0"/>
          <w:szCs w:val="20"/>
        </w:rPr>
        <w:t>GB/T 15691 香辛料调味品通用技术条件</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 xml:space="preserve">GB 19641食品安全国家标准 食用植物油料 </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GB/T 27306 食品安全管理体系 餐饮业要求</w:t>
      </w:r>
    </w:p>
    <w:p>
      <w:pPr>
        <w:adjustRightInd w:val="0"/>
        <w:snapToGrid w:val="0"/>
        <w:spacing w:line="360" w:lineRule="exact"/>
        <w:ind w:firstLine="420" w:firstLineChars="200"/>
        <w:rPr>
          <w:rFonts w:hint="eastAsia" w:ascii="宋体" w:hAnsi="宋体"/>
          <w:kern w:val="0"/>
          <w:szCs w:val="20"/>
        </w:rPr>
      </w:pPr>
      <w:r>
        <w:rPr>
          <w:rFonts w:hint="eastAsia" w:ascii="宋体" w:hAnsi="宋体"/>
          <w:kern w:val="0"/>
          <w:szCs w:val="20"/>
        </w:rPr>
        <w:t>CAC/RCP 53 新鲜水果和蔬菜卫生操作规范</w:t>
      </w:r>
    </w:p>
    <w:p>
      <w:pPr>
        <w:adjustRightInd w:val="0"/>
        <w:snapToGrid w:val="0"/>
        <w:spacing w:line="360" w:lineRule="exact"/>
        <w:ind w:firstLine="420" w:firstLineChars="200"/>
        <w:rPr>
          <w:rFonts w:hint="eastAsia" w:ascii="宋体" w:hAnsi="宋体"/>
          <w:kern w:val="0"/>
          <w:szCs w:val="20"/>
        </w:rPr>
      </w:pPr>
      <w:r>
        <w:rPr>
          <w:rFonts w:hint="eastAsia" w:ascii="宋体" w:hAnsi="宋体"/>
          <w:kern w:val="0"/>
          <w:szCs w:val="20"/>
        </w:rPr>
        <w:t>SB/T 10946 川菜烹饪工艺</w:t>
      </w:r>
    </w:p>
    <w:p>
      <w:pPr>
        <w:adjustRightInd w:val="0"/>
        <w:snapToGrid w:val="0"/>
        <w:spacing w:line="360" w:lineRule="exact"/>
        <w:ind w:firstLine="420" w:firstLineChars="200"/>
        <w:rPr>
          <w:rFonts w:ascii="宋体" w:hAnsi="宋体"/>
          <w:kern w:val="0"/>
          <w:szCs w:val="20"/>
        </w:rPr>
      </w:pPr>
      <w:r>
        <w:rPr>
          <w:rFonts w:hint="eastAsia" w:ascii="宋体" w:hAnsi="宋体"/>
          <w:kern w:val="0"/>
          <w:szCs w:val="20"/>
        </w:rPr>
        <w:t>DB51/T 2137中国川菜服务规范</w:t>
      </w:r>
    </w:p>
    <w:p>
      <w:pPr>
        <w:adjustRightInd w:val="0"/>
        <w:snapToGrid w:val="0"/>
        <w:spacing w:line="360" w:lineRule="exact"/>
        <w:ind w:firstLine="420" w:firstLineChars="200"/>
        <w:rPr>
          <w:rFonts w:ascii="宋体" w:hAnsi="宋体"/>
          <w:color w:val="000000"/>
          <w:kern w:val="0"/>
          <w:szCs w:val="20"/>
        </w:rPr>
      </w:pPr>
      <w:r>
        <w:rPr>
          <w:rFonts w:hint="eastAsia" w:ascii="宋体" w:hAnsi="宋体"/>
          <w:color w:val="000000"/>
          <w:kern w:val="0"/>
          <w:szCs w:val="20"/>
        </w:rPr>
        <w:t xml:space="preserve">中华人民共和国市场监督管理总局 餐饮服务食品安全操作规范 国市场监管总局发〔2018〕12号 </w:t>
      </w:r>
      <w:bookmarkStart w:id="88" w:name="_Toc330997883"/>
      <w:bookmarkStart w:id="89" w:name="_Toc325953873"/>
      <w:bookmarkStart w:id="90" w:name="_Toc322681018"/>
      <w:bookmarkStart w:id="91" w:name="_Toc322681117"/>
      <w:bookmarkStart w:id="92" w:name="_Toc331066421"/>
      <w:bookmarkStart w:id="93" w:name="_Toc331094153"/>
      <w:bookmarkStart w:id="94" w:name="_Toc327218852"/>
      <w:bookmarkStart w:id="95" w:name="_Toc333435267"/>
      <w:bookmarkStart w:id="96" w:name="_Toc328988269"/>
      <w:bookmarkStart w:id="97" w:name="_Toc341647379"/>
      <w:bookmarkStart w:id="98" w:name="_Toc338683321"/>
      <w:bookmarkStart w:id="99" w:name="_Toc328591623"/>
      <w:bookmarkStart w:id="100" w:name="_Toc341647279"/>
      <w:bookmarkStart w:id="101" w:name="_Toc326569844"/>
      <w:bookmarkStart w:id="102" w:name="_Toc327186743"/>
      <w:bookmarkStart w:id="103" w:name="_Toc338682298"/>
    </w:p>
    <w:p>
      <w:pPr>
        <w:pStyle w:val="47"/>
        <w:spacing w:before="312" w:after="312"/>
        <w:rPr>
          <w:rFonts w:ascii="宋体" w:hAnsi="宋体"/>
          <w:szCs w:val="21"/>
        </w:rPr>
      </w:pPr>
      <w:bookmarkStart w:id="104" w:name="_Toc32026"/>
      <w:r>
        <w:rPr>
          <w:rFonts w:hint="eastAsia" w:ascii="宋体" w:hAnsi="宋体"/>
          <w:szCs w:val="21"/>
        </w:rPr>
        <w:t>术语和定义</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21"/>
        <w:spacing w:line="360" w:lineRule="exact"/>
      </w:pPr>
      <w:r>
        <w:rPr>
          <w:rFonts w:hint="eastAsia"/>
        </w:rPr>
        <w:t>下列术语和定义适用于本标准。</w:t>
      </w:r>
    </w:p>
    <w:p>
      <w:pPr>
        <w:pStyle w:val="44"/>
        <w:spacing w:before="156" w:after="156"/>
        <w:rPr>
          <w:rFonts w:ascii="宋体" w:hAnsi="宋体" w:eastAsia="宋体"/>
        </w:rPr>
      </w:pPr>
      <w:bookmarkStart w:id="105" w:name="_Toc342655632"/>
      <w:bookmarkEnd w:id="105"/>
      <w:bookmarkStart w:id="106" w:name="_Toc341647380"/>
      <w:bookmarkEnd w:id="106"/>
      <w:bookmarkStart w:id="107" w:name="_Toc338682299"/>
      <w:bookmarkEnd w:id="107"/>
      <w:bookmarkStart w:id="108" w:name="_Toc341647457"/>
      <w:bookmarkEnd w:id="108"/>
      <w:bookmarkStart w:id="109" w:name="_Toc14870"/>
      <w:bookmarkEnd w:id="109"/>
      <w:bookmarkStart w:id="110" w:name="_Toc341647280"/>
      <w:bookmarkEnd w:id="110"/>
      <w:bookmarkStart w:id="111" w:name="_Toc7849"/>
      <w:bookmarkEnd w:id="111"/>
    </w:p>
    <w:p>
      <w:pPr>
        <w:pStyle w:val="21"/>
        <w:rPr>
          <w:rFonts w:ascii="黑体" w:hAnsi="黑体" w:eastAsia="黑体" w:cs="黑体"/>
          <w:szCs w:val="21"/>
        </w:rPr>
      </w:pPr>
      <w:r>
        <w:rPr>
          <w:rFonts w:hint="eastAsia" w:hAnsi="宋体" w:eastAsia="黑体"/>
          <w:szCs w:val="21"/>
        </w:rPr>
        <w:t xml:space="preserve">牛华麻辣烫 </w:t>
      </w:r>
      <w:r>
        <w:rPr>
          <w:rFonts w:hint="eastAsia" w:ascii="黑体" w:hAnsi="黑体" w:eastAsia="黑体" w:cs="黑体"/>
          <w:szCs w:val="21"/>
        </w:rPr>
        <w:t>Niuhua Malatang</w:t>
      </w:r>
    </w:p>
    <w:p>
      <w:pPr>
        <w:spacing w:line="440" w:lineRule="exact"/>
        <w:ind w:firstLine="420" w:firstLineChars="200"/>
      </w:pPr>
      <w:r>
        <w:rPr>
          <w:rFonts w:hint="eastAsia"/>
        </w:rPr>
        <w:t>麻辣烫与麻辣火锅类似，不同的是，把肉和菜都穿在竹签上，吃的时候，将一大把竹签穿起的肉和菜放进翻滚的红汤中烫熟食用。</w:t>
      </w:r>
    </w:p>
    <w:p>
      <w:pPr>
        <w:pStyle w:val="47"/>
        <w:spacing w:before="312" w:after="312"/>
      </w:pPr>
      <w:bookmarkStart w:id="112" w:name="_Toc341647382"/>
      <w:bookmarkEnd w:id="112"/>
      <w:bookmarkStart w:id="113" w:name="_Toc338682301"/>
      <w:bookmarkEnd w:id="113"/>
      <w:bookmarkStart w:id="114" w:name="_Toc342655637"/>
      <w:bookmarkEnd w:id="114"/>
      <w:bookmarkStart w:id="115" w:name="_Toc342655634"/>
      <w:bookmarkEnd w:id="115"/>
      <w:bookmarkStart w:id="116" w:name="_Toc341647381"/>
      <w:bookmarkEnd w:id="116"/>
      <w:bookmarkStart w:id="117" w:name="_Toc341647285"/>
      <w:bookmarkEnd w:id="117"/>
      <w:bookmarkStart w:id="118" w:name="_Toc342655633"/>
      <w:bookmarkEnd w:id="118"/>
      <w:bookmarkStart w:id="119" w:name="_Toc341647282"/>
      <w:bookmarkEnd w:id="119"/>
      <w:bookmarkStart w:id="120" w:name="_Toc338682300"/>
      <w:bookmarkEnd w:id="120"/>
      <w:bookmarkStart w:id="121" w:name="_Toc27763"/>
      <w:bookmarkEnd w:id="121"/>
      <w:bookmarkStart w:id="122" w:name="_Toc341647385"/>
      <w:bookmarkEnd w:id="122"/>
      <w:bookmarkStart w:id="123" w:name="_Toc338682304"/>
      <w:bookmarkEnd w:id="123"/>
      <w:bookmarkStart w:id="124" w:name="_Toc341647281"/>
      <w:bookmarkEnd w:id="124"/>
      <w:bookmarkStart w:id="125" w:name="_Toc341647459"/>
      <w:bookmarkEnd w:id="125"/>
      <w:bookmarkStart w:id="126" w:name="_Toc341647462"/>
      <w:bookmarkEnd w:id="126"/>
      <w:bookmarkStart w:id="127" w:name="_Toc341647458"/>
      <w:bookmarkEnd w:id="127"/>
      <w:bookmarkStart w:id="128" w:name="_Toc30364"/>
      <w:bookmarkStart w:id="129" w:name="_Toc338682381"/>
      <w:bookmarkStart w:id="130" w:name="_Toc341647293"/>
      <w:bookmarkStart w:id="131" w:name="_Toc338683323"/>
      <w:bookmarkStart w:id="132" w:name="_Toc341647393"/>
      <w:r>
        <w:rPr>
          <w:rFonts w:hint="eastAsia" w:ascii="宋体" w:hAnsi="宋体"/>
          <w:szCs w:val="21"/>
        </w:rPr>
        <w:t>配方及食材选用要求</w:t>
      </w:r>
      <w:bookmarkEnd w:id="128"/>
    </w:p>
    <w:p>
      <w:pPr>
        <w:pStyle w:val="44"/>
        <w:spacing w:before="156" w:after="156"/>
        <w:rPr>
          <w:rFonts w:ascii="宋体" w:hAnsi="宋体"/>
        </w:rPr>
      </w:pPr>
      <w:bookmarkStart w:id="133" w:name="_Toc26825"/>
      <w:bookmarkStart w:id="134" w:name="_Toc29736"/>
      <w:r>
        <w:rPr>
          <w:rFonts w:hint="eastAsia" w:ascii="宋体" w:hAnsi="宋体"/>
        </w:rPr>
        <w:t>配方</w:t>
      </w:r>
      <w:bookmarkEnd w:id="133"/>
      <w:bookmarkEnd w:id="134"/>
    </w:p>
    <w:p>
      <w:pPr>
        <w:pStyle w:val="44"/>
        <w:numPr>
          <w:ilvl w:val="0"/>
          <w:numId w:val="0"/>
        </w:numPr>
        <w:spacing w:before="156" w:after="156"/>
        <w:rPr>
          <w:rFonts w:ascii="宋体" w:hAnsi="宋体"/>
        </w:rPr>
      </w:pPr>
      <w:r>
        <w:rPr>
          <w:rFonts w:hint="eastAsia"/>
        </w:rPr>
        <w:t>4.1.1</w:t>
      </w:r>
      <w:r>
        <w:rPr>
          <w:rFonts w:hint="eastAsia" w:hAnsi="宋体"/>
          <w:color w:val="000000"/>
        </w:rPr>
        <w:t>食材配方</w:t>
      </w:r>
    </w:p>
    <w:p>
      <w:pPr>
        <w:spacing w:line="440" w:lineRule="exact"/>
        <w:ind w:firstLine="420" w:firstLineChars="200"/>
      </w:pPr>
      <w:r>
        <w:rPr>
          <w:rFonts w:hint="eastAsia"/>
        </w:rPr>
        <w:t>麻辣烫可选食材多样，畜肉、禽类、水产、蔬菜等均可烫制食用，推荐食材配方见</w:t>
      </w:r>
      <w:r>
        <w:rPr>
          <w:rFonts w:hint="eastAsia" w:hAnsi="宋体"/>
          <w:color w:val="000000"/>
          <w:szCs w:val="21"/>
        </w:rPr>
        <w:t>表1。</w:t>
      </w:r>
    </w:p>
    <w:p>
      <w:pPr>
        <w:pStyle w:val="129"/>
        <w:spacing w:before="156" w:after="156"/>
      </w:pPr>
      <w:r>
        <w:rPr>
          <w:rFonts w:hint="eastAsia"/>
        </w:rPr>
        <w:t>推荐食材配方</w:t>
      </w:r>
    </w:p>
    <w:tbl>
      <w:tblPr>
        <w:tblStyle w:val="30"/>
        <w:tblW w:w="4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213"/>
        <w:gridCol w:w="2264"/>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牛肉片</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鹌鹑蛋</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猪里脊</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冻豆腐</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排骨</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生菜</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鸭舌</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香菇</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黄喉</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黄瓜</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掌中宝</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水发木耳</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鸡胗</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青笋</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鸭肉条</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土豆片</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冒节子</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莲藕片</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郡把</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空心菜</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猪肚</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独蒜</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猪鞭</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花菜</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000" w:type="pct"/>
            <w:gridSpan w:val="4"/>
            <w:noWrap/>
            <w:vAlign w:val="center"/>
          </w:tcPr>
          <w:p>
            <w:pPr>
              <w:adjustRightInd w:val="0"/>
              <w:snapToGrid w:val="0"/>
              <w:rPr>
                <w:rFonts w:ascii="宋体" w:hAnsi="宋体" w:cs="宋体"/>
                <w:sz w:val="18"/>
                <w:szCs w:val="18"/>
              </w:rPr>
            </w:pPr>
            <w:r>
              <w:rPr>
                <w:rFonts w:hint="eastAsia" w:ascii="宋体" w:hAnsi="宋体" w:cs="宋体"/>
                <w:kern w:val="0"/>
                <w:sz w:val="18"/>
                <w:szCs w:val="18"/>
              </w:rPr>
              <w:t>注：允许误差≤10%</w:t>
            </w:r>
          </w:p>
        </w:tc>
      </w:tr>
    </w:tbl>
    <w:p>
      <w:pPr>
        <w:pStyle w:val="44"/>
        <w:numPr>
          <w:ilvl w:val="0"/>
          <w:numId w:val="0"/>
        </w:numPr>
        <w:spacing w:before="156" w:after="156"/>
      </w:pPr>
      <w:bookmarkStart w:id="135" w:name="_Toc21620"/>
      <w:r>
        <w:rPr>
          <w:rFonts w:hint="eastAsia"/>
        </w:rPr>
        <w:t>4.1.2味碟配方</w:t>
      </w:r>
    </w:p>
    <w:p>
      <w:pPr>
        <w:pStyle w:val="21"/>
      </w:pPr>
      <w:r>
        <w:rPr>
          <w:rFonts w:hint="eastAsia" w:hAnsi="宋体"/>
          <w:color w:val="000000"/>
          <w:szCs w:val="21"/>
        </w:rPr>
        <w:t>牛华麻辣烫味碟配方见表2。</w:t>
      </w:r>
    </w:p>
    <w:p>
      <w:pPr>
        <w:pStyle w:val="129"/>
        <w:spacing w:before="156" w:after="156"/>
        <w:rPr>
          <w:rFonts w:ascii="宋体" w:hAnsi="宋体"/>
          <w:color w:val="000000"/>
          <w:szCs w:val="21"/>
        </w:rPr>
      </w:pPr>
      <w:r>
        <w:rPr>
          <w:rFonts w:hint="eastAsia"/>
        </w:rPr>
        <w:t>味碟配方</w:t>
      </w:r>
    </w:p>
    <w:tbl>
      <w:tblPr>
        <w:tblStyle w:val="30"/>
        <w:tblW w:w="4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2118"/>
        <w:gridCol w:w="2166"/>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64" w:type="pct"/>
            <w:gridSpan w:val="2"/>
            <w:noWrap/>
            <w:vAlign w:val="center"/>
          </w:tcPr>
          <w:p>
            <w:pPr>
              <w:adjustRightInd w:val="0"/>
              <w:snapToGrid w:val="0"/>
              <w:jc w:val="center"/>
              <w:rPr>
                <w:rFonts w:ascii="宋体" w:hAnsi="宋体" w:cs="宋体"/>
                <w:sz w:val="18"/>
                <w:szCs w:val="18"/>
              </w:rPr>
            </w:pPr>
            <w:r>
              <w:rPr>
                <w:rFonts w:hint="eastAsia" w:ascii="宋体" w:hAnsi="宋体" w:cs="宋体"/>
                <w:sz w:val="18"/>
                <w:szCs w:val="18"/>
              </w:rPr>
              <w:t>干味碟</w:t>
            </w:r>
          </w:p>
        </w:tc>
        <w:tc>
          <w:tcPr>
            <w:tcW w:w="2636" w:type="pct"/>
            <w:gridSpan w:val="2"/>
            <w:noWrap/>
            <w:vAlign w:val="center"/>
          </w:tcPr>
          <w:p>
            <w:pPr>
              <w:adjustRightInd w:val="0"/>
              <w:snapToGrid w:val="0"/>
              <w:jc w:val="center"/>
              <w:rPr>
                <w:rFonts w:ascii="宋体" w:hAnsi="宋体" w:cs="宋体"/>
                <w:sz w:val="18"/>
                <w:szCs w:val="18"/>
              </w:rPr>
            </w:pPr>
            <w:r>
              <w:rPr>
                <w:rFonts w:hint="eastAsia" w:ascii="宋体" w:hAnsi="宋体" w:cs="宋体"/>
                <w:sz w:val="18"/>
                <w:szCs w:val="18"/>
              </w:rPr>
              <w:t>湿味碟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食盐</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辣椒粉</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味精</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花椒粉</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鸡精</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孜然粉</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鲜味王</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食盐</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青花椒粉</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3</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味精</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辣椒面</w:t>
            </w:r>
          </w:p>
        </w:tc>
        <w:tc>
          <w:tcPr>
            <w:tcW w:w="128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15</w:t>
            </w: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鸡精</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p>
        </w:tc>
        <w:tc>
          <w:tcPr>
            <w:tcW w:w="1284" w:type="pct"/>
            <w:noWrap/>
            <w:vAlign w:val="center"/>
          </w:tcPr>
          <w:p>
            <w:pPr>
              <w:adjustRightInd w:val="0"/>
              <w:snapToGrid w:val="0"/>
              <w:jc w:val="center"/>
              <w:rPr>
                <w:rFonts w:ascii="宋体" w:hAnsi="宋体" w:cs="宋体"/>
                <w:sz w:val="18"/>
                <w:szCs w:val="18"/>
              </w:rPr>
            </w:pP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鲜味王</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p>
        </w:tc>
        <w:tc>
          <w:tcPr>
            <w:tcW w:w="1284" w:type="pct"/>
            <w:noWrap/>
            <w:vAlign w:val="center"/>
          </w:tcPr>
          <w:p>
            <w:pPr>
              <w:adjustRightInd w:val="0"/>
              <w:snapToGrid w:val="0"/>
              <w:jc w:val="center"/>
              <w:rPr>
                <w:rFonts w:ascii="宋体" w:hAnsi="宋体" w:cs="宋体"/>
                <w:sz w:val="18"/>
                <w:szCs w:val="18"/>
              </w:rPr>
            </w:pP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芝麻油</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p>
        </w:tc>
        <w:tc>
          <w:tcPr>
            <w:tcW w:w="1284" w:type="pct"/>
            <w:noWrap/>
            <w:vAlign w:val="center"/>
          </w:tcPr>
          <w:p>
            <w:pPr>
              <w:adjustRightInd w:val="0"/>
              <w:snapToGrid w:val="0"/>
              <w:jc w:val="center"/>
              <w:rPr>
                <w:rFonts w:ascii="宋体" w:hAnsi="宋体" w:cs="宋体"/>
                <w:sz w:val="18"/>
                <w:szCs w:val="18"/>
              </w:rPr>
            </w:pP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藤椒油</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p>
        </w:tc>
        <w:tc>
          <w:tcPr>
            <w:tcW w:w="1284" w:type="pct"/>
            <w:noWrap/>
            <w:vAlign w:val="center"/>
          </w:tcPr>
          <w:p>
            <w:pPr>
              <w:adjustRightInd w:val="0"/>
              <w:snapToGrid w:val="0"/>
              <w:jc w:val="center"/>
              <w:rPr>
                <w:rFonts w:ascii="宋体" w:hAnsi="宋体" w:cs="宋体"/>
                <w:sz w:val="18"/>
                <w:szCs w:val="18"/>
              </w:rPr>
            </w:pP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花生碎</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p>
        </w:tc>
        <w:tc>
          <w:tcPr>
            <w:tcW w:w="1284" w:type="pct"/>
            <w:noWrap/>
            <w:vAlign w:val="center"/>
          </w:tcPr>
          <w:p>
            <w:pPr>
              <w:adjustRightInd w:val="0"/>
              <w:snapToGrid w:val="0"/>
              <w:jc w:val="center"/>
              <w:rPr>
                <w:rFonts w:ascii="宋体" w:hAnsi="宋体" w:cs="宋体"/>
                <w:sz w:val="18"/>
                <w:szCs w:val="18"/>
              </w:rPr>
            </w:pP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蒜米</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p>
        </w:tc>
        <w:tc>
          <w:tcPr>
            <w:tcW w:w="1284" w:type="pct"/>
            <w:noWrap/>
            <w:vAlign w:val="center"/>
          </w:tcPr>
          <w:p>
            <w:pPr>
              <w:adjustRightInd w:val="0"/>
              <w:snapToGrid w:val="0"/>
              <w:jc w:val="center"/>
              <w:rPr>
                <w:rFonts w:ascii="宋体" w:hAnsi="宋体" w:cs="宋体"/>
                <w:sz w:val="18"/>
                <w:szCs w:val="18"/>
              </w:rPr>
            </w:pP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香菜</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p>
        </w:tc>
        <w:tc>
          <w:tcPr>
            <w:tcW w:w="1284" w:type="pct"/>
            <w:noWrap/>
            <w:vAlign w:val="center"/>
          </w:tcPr>
          <w:p>
            <w:pPr>
              <w:adjustRightInd w:val="0"/>
              <w:snapToGrid w:val="0"/>
              <w:jc w:val="center"/>
              <w:rPr>
                <w:rFonts w:ascii="宋体" w:hAnsi="宋体" w:cs="宋体"/>
                <w:sz w:val="18"/>
                <w:szCs w:val="18"/>
              </w:rPr>
            </w:pP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青尖椒碎</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pct"/>
            <w:noWrap/>
            <w:vAlign w:val="center"/>
          </w:tcPr>
          <w:p>
            <w:pPr>
              <w:adjustRightInd w:val="0"/>
              <w:snapToGrid w:val="0"/>
              <w:jc w:val="center"/>
              <w:rPr>
                <w:rFonts w:ascii="宋体" w:hAnsi="宋体" w:cs="宋体"/>
                <w:sz w:val="18"/>
                <w:szCs w:val="18"/>
              </w:rPr>
            </w:pPr>
          </w:p>
        </w:tc>
        <w:tc>
          <w:tcPr>
            <w:tcW w:w="1284" w:type="pct"/>
            <w:noWrap/>
            <w:vAlign w:val="center"/>
          </w:tcPr>
          <w:p>
            <w:pPr>
              <w:adjustRightInd w:val="0"/>
              <w:snapToGrid w:val="0"/>
              <w:jc w:val="center"/>
              <w:rPr>
                <w:rFonts w:ascii="宋体" w:hAnsi="宋体" w:cs="宋体"/>
                <w:sz w:val="18"/>
                <w:szCs w:val="18"/>
              </w:rPr>
            </w:pPr>
          </w:p>
        </w:tc>
        <w:tc>
          <w:tcPr>
            <w:tcW w:w="131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红尖椒碎</w:t>
            </w:r>
          </w:p>
        </w:tc>
        <w:tc>
          <w:tcPr>
            <w:tcW w:w="132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0" w:type="pct"/>
            <w:gridSpan w:val="4"/>
            <w:noWrap/>
            <w:vAlign w:val="center"/>
          </w:tcPr>
          <w:p>
            <w:pPr>
              <w:adjustRightInd w:val="0"/>
              <w:snapToGrid w:val="0"/>
              <w:rPr>
                <w:rFonts w:ascii="宋体" w:hAnsi="宋体" w:cs="宋体"/>
                <w:sz w:val="18"/>
                <w:szCs w:val="18"/>
              </w:rPr>
            </w:pPr>
            <w:r>
              <w:rPr>
                <w:rFonts w:hint="eastAsia" w:ascii="宋体" w:hAnsi="宋体" w:cs="宋体"/>
                <w:kern w:val="0"/>
                <w:sz w:val="18"/>
                <w:szCs w:val="18"/>
              </w:rPr>
              <w:t>注：允许误差≤10%</w:t>
            </w:r>
          </w:p>
        </w:tc>
      </w:tr>
    </w:tbl>
    <w:p>
      <w:pPr>
        <w:pStyle w:val="21"/>
      </w:pPr>
    </w:p>
    <w:p>
      <w:pPr>
        <w:pStyle w:val="44"/>
        <w:numPr>
          <w:ilvl w:val="0"/>
          <w:numId w:val="0"/>
        </w:numPr>
        <w:spacing w:before="156" w:after="156"/>
      </w:pPr>
      <w:r>
        <w:rPr>
          <w:rFonts w:hint="eastAsia"/>
        </w:rPr>
        <w:t>4.1.3汤汁配方</w:t>
      </w:r>
    </w:p>
    <w:p>
      <w:pPr>
        <w:pStyle w:val="21"/>
      </w:pPr>
      <w:r>
        <w:rPr>
          <w:rFonts w:hint="eastAsia" w:hAnsi="宋体"/>
          <w:color w:val="000000"/>
          <w:szCs w:val="21"/>
        </w:rPr>
        <w:t>牛华麻辣烫的汤汁配方见表3。</w:t>
      </w:r>
    </w:p>
    <w:p>
      <w:pPr>
        <w:pStyle w:val="129"/>
        <w:spacing w:before="156" w:after="156"/>
        <w:rPr>
          <w:rFonts w:ascii="宋体" w:hAnsi="宋体"/>
          <w:color w:val="000000"/>
          <w:szCs w:val="21"/>
        </w:rPr>
      </w:pPr>
      <w:r>
        <w:rPr>
          <w:rFonts w:hint="eastAsia"/>
        </w:rPr>
        <w:t>汤汁配方</w:t>
      </w:r>
    </w:p>
    <w:tbl>
      <w:tblPr>
        <w:tblStyle w:val="30"/>
        <w:tblW w:w="43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2112"/>
        <w:gridCol w:w="2163"/>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 材</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菜籽油</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150</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甘草</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牛油</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150</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川沙仁</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姜</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香叶</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蒜</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15</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香茅草</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辣豆瓣</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30</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香果</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辣椒粉</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50</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白芷</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冰糖</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草果</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豆腐乳</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15</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白扣</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豆豉</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丁香</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料酒</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胡椒</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八角</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6</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孜然</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山奈</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山楂</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桂皮</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干姜</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茴香</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灵草</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黄枝子</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2.5</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橙皮</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鲜味王</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食盐</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鸡精</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青花椒</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味精</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c>
          <w:tcPr>
            <w:tcW w:w="1314"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枸杞</w:t>
            </w:r>
          </w:p>
        </w:tc>
        <w:tc>
          <w:tcPr>
            <w:tcW w:w="1322"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1"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鲜汤</w:t>
            </w:r>
          </w:p>
        </w:tc>
        <w:tc>
          <w:tcPr>
            <w:tcW w:w="1283" w:type="pct"/>
            <w:noWrap/>
            <w:vAlign w:val="center"/>
          </w:tcPr>
          <w:p>
            <w:pPr>
              <w:adjustRightInd w:val="0"/>
              <w:snapToGrid w:val="0"/>
              <w:jc w:val="center"/>
              <w:rPr>
                <w:rFonts w:ascii="宋体" w:hAnsi="宋体" w:cs="宋体"/>
                <w:sz w:val="18"/>
                <w:szCs w:val="18"/>
              </w:rPr>
            </w:pPr>
            <w:r>
              <w:rPr>
                <w:rFonts w:hint="eastAsia" w:ascii="宋体" w:hAnsi="宋体" w:cs="宋体"/>
                <w:sz w:val="18"/>
                <w:szCs w:val="18"/>
              </w:rPr>
              <w:t>2000</w:t>
            </w:r>
          </w:p>
        </w:tc>
        <w:tc>
          <w:tcPr>
            <w:tcW w:w="1314" w:type="pct"/>
            <w:noWrap/>
            <w:vAlign w:val="center"/>
          </w:tcPr>
          <w:p>
            <w:pPr>
              <w:adjustRightInd w:val="0"/>
              <w:snapToGrid w:val="0"/>
              <w:jc w:val="center"/>
              <w:rPr>
                <w:rFonts w:ascii="宋体" w:hAnsi="宋体" w:cs="宋体"/>
                <w:sz w:val="18"/>
                <w:szCs w:val="18"/>
                <w:highlight w:val="yellow"/>
              </w:rPr>
            </w:pPr>
          </w:p>
        </w:tc>
        <w:tc>
          <w:tcPr>
            <w:tcW w:w="1322" w:type="pct"/>
            <w:noWrap/>
            <w:vAlign w:val="center"/>
          </w:tcPr>
          <w:p>
            <w:pPr>
              <w:adjustRightInd w:val="0"/>
              <w:snapToGrid w:val="0"/>
              <w:jc w:val="center"/>
              <w:rPr>
                <w:rFonts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999" w:type="pct"/>
            <w:gridSpan w:val="4"/>
            <w:noWrap/>
            <w:vAlign w:val="center"/>
          </w:tcPr>
          <w:p>
            <w:pPr>
              <w:adjustRightInd w:val="0"/>
              <w:snapToGrid w:val="0"/>
              <w:rPr>
                <w:rFonts w:ascii="宋体" w:hAnsi="宋体" w:cs="宋体"/>
                <w:sz w:val="18"/>
                <w:szCs w:val="18"/>
              </w:rPr>
            </w:pPr>
            <w:r>
              <w:rPr>
                <w:rFonts w:hint="eastAsia" w:ascii="宋体" w:hAnsi="宋体" w:cs="宋体"/>
                <w:kern w:val="0"/>
                <w:sz w:val="18"/>
                <w:szCs w:val="18"/>
              </w:rPr>
              <w:t>注：允许误差≤10%</w:t>
            </w:r>
          </w:p>
        </w:tc>
      </w:tr>
    </w:tbl>
    <w:p>
      <w:pPr>
        <w:spacing w:line="440" w:lineRule="exact"/>
        <w:ind w:firstLine="420" w:firstLineChars="200"/>
      </w:pPr>
    </w:p>
    <w:p>
      <w:pPr>
        <w:pStyle w:val="44"/>
        <w:spacing w:before="156" w:after="156"/>
        <w:rPr>
          <w:rFonts w:hAnsi="宋体"/>
        </w:rPr>
      </w:pPr>
      <w:r>
        <w:rPr>
          <w:rFonts w:hint="eastAsia" w:ascii="宋体" w:hAnsi="宋体"/>
        </w:rPr>
        <w:t>食材选用要求</w:t>
      </w:r>
      <w:bookmarkEnd w:id="135"/>
    </w:p>
    <w:p>
      <w:pPr>
        <w:pStyle w:val="21"/>
      </w:pPr>
      <w:r>
        <w:rPr>
          <w:rFonts w:hint="eastAsia"/>
        </w:rPr>
        <w:t>食材选用应符合GB 2707、GB 2721、GB 2762、GB 2763、GB 5749、GB/T 15691、GB 19641、CAC/RCP 53等相关国家标准的要求。</w:t>
      </w:r>
      <w:bookmarkStart w:id="136" w:name="_Toc4810"/>
    </w:p>
    <w:bookmarkEnd w:id="136"/>
    <w:p>
      <w:pPr>
        <w:pStyle w:val="47"/>
        <w:spacing w:before="312" w:after="312"/>
      </w:pPr>
      <w:bookmarkStart w:id="137" w:name="_Toc24207"/>
      <w:bookmarkStart w:id="138" w:name="_Toc1071"/>
      <w:r>
        <w:rPr>
          <w:rFonts w:hint="eastAsia" w:ascii="宋体" w:hAnsi="宋体"/>
          <w:szCs w:val="21"/>
        </w:rPr>
        <w:t>制作工艺及要求</w:t>
      </w:r>
      <w:bookmarkEnd w:id="137"/>
    </w:p>
    <w:p>
      <w:pPr>
        <w:pStyle w:val="44"/>
        <w:spacing w:before="156" w:after="156"/>
      </w:pPr>
      <w:bookmarkStart w:id="139" w:name="_Toc24025"/>
      <w:r>
        <w:rPr>
          <w:rFonts w:hint="eastAsia"/>
        </w:rPr>
        <w:t>制作工艺</w:t>
      </w:r>
      <w:bookmarkEnd w:id="138"/>
      <w:bookmarkEnd w:id="139"/>
    </w:p>
    <w:p>
      <w:pPr>
        <w:pStyle w:val="65"/>
        <w:ind w:left="-1276" w:firstLine="1260" w:firstLineChars="600"/>
      </w:pPr>
      <w:bookmarkStart w:id="140" w:name="_Toc10069"/>
      <w:bookmarkStart w:id="141" w:name="_Toc14426"/>
      <w:bookmarkStart w:id="142" w:name="_Toc18954"/>
      <w:bookmarkStart w:id="143" w:name="_Toc23843"/>
      <w:r>
        <w:rPr>
          <w:rFonts w:hint="eastAsia"/>
        </w:rPr>
        <w:t>预处理</w:t>
      </w:r>
      <w:bookmarkEnd w:id="140"/>
      <w:bookmarkEnd w:id="141"/>
      <w:bookmarkEnd w:id="142"/>
      <w:bookmarkEnd w:id="143"/>
    </w:p>
    <w:p>
      <w:pPr>
        <w:pStyle w:val="21"/>
        <w:spacing w:line="360" w:lineRule="exact"/>
        <w:rPr>
          <w:rFonts w:hAnsi="宋体"/>
          <w:color w:val="000000"/>
          <w:szCs w:val="21"/>
        </w:rPr>
      </w:pPr>
      <w:r>
        <w:rPr>
          <w:rFonts w:hint="eastAsia" w:hAnsi="宋体"/>
          <w:color w:val="000000"/>
          <w:szCs w:val="21"/>
        </w:rPr>
        <w:t>（1）所有食材经加工后，用竹签分别穿上。</w:t>
      </w:r>
    </w:p>
    <w:p>
      <w:pPr>
        <w:pStyle w:val="21"/>
        <w:spacing w:line="360" w:lineRule="exact"/>
        <w:rPr>
          <w:rFonts w:hAnsi="宋体"/>
          <w:color w:val="000000"/>
          <w:szCs w:val="21"/>
        </w:rPr>
      </w:pPr>
      <w:r>
        <w:rPr>
          <w:rFonts w:hint="eastAsia" w:hAnsi="宋体"/>
          <w:color w:val="000000"/>
          <w:szCs w:val="21"/>
        </w:rPr>
        <w:t>（2）八角、山奈、桂皮、茴香、黄枝子、甘草、川沙仁、香叶、香茅草、香果、白芷、草果、白扣、丁香、胡椒、孜然、山楂、干姜、灵草、橙皮、冰糖、姜、蒜分别加工成碎。</w:t>
      </w:r>
    </w:p>
    <w:p>
      <w:pPr>
        <w:pStyle w:val="65"/>
        <w:spacing w:line="360" w:lineRule="exact"/>
        <w:ind w:left="-1276" w:firstLine="1260" w:firstLineChars="600"/>
      </w:pPr>
      <w:r>
        <w:rPr>
          <w:rFonts w:hint="eastAsia"/>
        </w:rPr>
        <w:t>味碟制作</w:t>
      </w:r>
    </w:p>
    <w:p>
      <w:pPr>
        <w:spacing w:line="440" w:lineRule="exact"/>
        <w:ind w:firstLine="420" w:firstLineChars="200"/>
        <w:rPr>
          <w:rFonts w:ascii="Arial" w:hAnsi="Arial" w:eastAsia="Arial" w:cs="Arial"/>
          <w:color w:val="191919"/>
          <w:sz w:val="24"/>
          <w:shd w:val="clear" w:color="auto" w:fill="FFFFFF"/>
        </w:rPr>
      </w:pPr>
      <w:r>
        <w:rPr>
          <w:rFonts w:hint="eastAsia"/>
        </w:rPr>
        <w:t>（1）干味碟制作：</w:t>
      </w:r>
      <w:r>
        <w:rPr>
          <w:rFonts w:hint="eastAsia" w:ascii="宋体" w:hAnsi="宋体"/>
          <w:kern w:val="0"/>
          <w:szCs w:val="21"/>
        </w:rPr>
        <w:t>食盐、味精、鸡精、鲜味王、枸杞、青花椒粉、辣椒粉入碗拌匀</w:t>
      </w:r>
      <w:r>
        <w:rPr>
          <w:rFonts w:hint="eastAsia" w:ascii="宋体" w:hAnsi="宋体"/>
        </w:rPr>
        <w:t>调成干味碟</w:t>
      </w:r>
      <w:r>
        <w:rPr>
          <w:rFonts w:hint="eastAsia" w:ascii="宋体" w:hAnsi="宋体"/>
          <w:kern w:val="0"/>
          <w:szCs w:val="21"/>
        </w:rPr>
        <w:t>。</w:t>
      </w:r>
    </w:p>
    <w:p>
      <w:pPr>
        <w:pStyle w:val="65"/>
        <w:numPr>
          <w:ilvl w:val="0"/>
          <w:numId w:val="0"/>
        </w:numPr>
        <w:spacing w:line="360" w:lineRule="exact"/>
        <w:ind w:left="-16"/>
      </w:pPr>
      <w:r>
        <w:rPr>
          <w:rFonts w:hint="eastAsia"/>
        </w:rPr>
        <w:t xml:space="preserve">    （2）湿味碟制作：</w:t>
      </w:r>
      <w:r>
        <w:rPr>
          <w:rFonts w:hint="eastAsia" w:hAnsi="宋体"/>
        </w:rPr>
        <w:t>辣椒粉、花椒粉、孜然粉、食盐、味精、鸡精、鲜味王、辣椒油、芝麻油、藤椒油、花生碎、蒜米、香菜、青尖椒碎、红尖椒碎入碗拌匀调成</w:t>
      </w:r>
      <w:r>
        <w:rPr>
          <w:rFonts w:hint="eastAsia"/>
        </w:rPr>
        <w:t>湿</w:t>
      </w:r>
      <w:r>
        <w:rPr>
          <w:rFonts w:hint="eastAsia" w:hAnsi="宋体"/>
        </w:rPr>
        <w:t>味碟。</w:t>
      </w:r>
    </w:p>
    <w:p>
      <w:pPr>
        <w:pStyle w:val="65"/>
        <w:spacing w:line="360" w:lineRule="exact"/>
        <w:ind w:left="-1276" w:firstLine="1260" w:firstLineChars="600"/>
      </w:pPr>
      <w:r>
        <w:rPr>
          <w:rFonts w:hint="eastAsia"/>
        </w:rPr>
        <w:t>烹制及装盘</w:t>
      </w:r>
    </w:p>
    <w:p>
      <w:pPr>
        <w:adjustRightInd w:val="0"/>
        <w:snapToGrid w:val="0"/>
        <w:spacing w:line="360" w:lineRule="exact"/>
        <w:ind w:firstLine="420" w:firstLineChars="200"/>
        <w:rPr>
          <w:rFonts w:ascii="宋体" w:hAnsi="宋体"/>
        </w:rPr>
      </w:pPr>
      <w:r>
        <w:rPr>
          <w:rFonts w:hint="eastAsia" w:ascii="宋体" w:hAnsi="宋体"/>
        </w:rPr>
        <w:t>（1）锅中放菜籽油、牛油烧至120℃，放入姜、蒜、辣豆瓣、辣椒粉、冰糖、八角、山奈、桂皮、茴香、黄枝子、甘草、川沙仁、香叶、香茅草、香果、白芷、草果、白扣、丁香、胡椒、孜然、山楂、干姜、灵草、橙皮炒香，入豆腐乳、豆豉、料酒炒香，入鲜汤、食盐、青花椒、鲜味王、鸡精、味精、枸杞烧沸出味制成汤汁，倒入火锅中。</w:t>
      </w:r>
    </w:p>
    <w:p>
      <w:pPr>
        <w:adjustRightInd w:val="0"/>
        <w:snapToGrid w:val="0"/>
        <w:spacing w:line="360" w:lineRule="exact"/>
        <w:ind w:firstLine="420" w:firstLineChars="200"/>
        <w:rPr>
          <w:rFonts w:ascii="宋体" w:hAnsi="宋体"/>
        </w:rPr>
      </w:pPr>
      <w:r>
        <w:rPr>
          <w:rFonts w:hint="eastAsia" w:ascii="宋体" w:hAnsi="宋体"/>
        </w:rPr>
        <w:t>（2）将食材放入汤汁锅中烫涮成熟取出，拌上味碟料食用。</w:t>
      </w:r>
    </w:p>
    <w:p>
      <w:pPr>
        <w:pStyle w:val="44"/>
        <w:spacing w:before="156" w:after="156"/>
      </w:pPr>
      <w:bookmarkStart w:id="144" w:name="_Toc29107"/>
      <w:bookmarkStart w:id="145" w:name="_Toc3441"/>
      <w:bookmarkStart w:id="146" w:name="_Toc24964"/>
      <w:r>
        <w:rPr>
          <w:rFonts w:hint="eastAsia"/>
        </w:rPr>
        <w:t>制作要求</w:t>
      </w:r>
      <w:bookmarkEnd w:id="144"/>
      <w:bookmarkEnd w:id="145"/>
      <w:bookmarkEnd w:id="146"/>
    </w:p>
    <w:p>
      <w:pPr>
        <w:pStyle w:val="65"/>
        <w:spacing w:line="360" w:lineRule="exact"/>
        <w:rPr>
          <w:rFonts w:hAnsi="宋体"/>
          <w:color w:val="000000"/>
        </w:rPr>
      </w:pPr>
      <w:bookmarkStart w:id="147" w:name="_Toc16145"/>
      <w:bookmarkStart w:id="148" w:name="_Toc18360"/>
      <w:r>
        <w:rPr>
          <w:rFonts w:hint="eastAsia" w:hAnsi="宋体"/>
          <w:color w:val="000000"/>
        </w:rPr>
        <w:t>锅中卤汁需烧沸后再放入食材烫涮，食材应全部浸入汤汁中。</w:t>
      </w:r>
      <w:bookmarkEnd w:id="147"/>
      <w:bookmarkEnd w:id="148"/>
    </w:p>
    <w:p>
      <w:pPr>
        <w:pStyle w:val="65"/>
        <w:spacing w:line="360" w:lineRule="exact"/>
        <w:rPr>
          <w:rFonts w:hAnsi="宋体"/>
          <w:color w:val="000000"/>
        </w:rPr>
      </w:pPr>
      <w:bookmarkStart w:id="149" w:name="_Toc22089"/>
      <w:bookmarkStart w:id="150" w:name="_Toc23975"/>
      <w:r>
        <w:rPr>
          <w:rFonts w:hint="eastAsia" w:hAnsi="宋体"/>
          <w:color w:val="000000"/>
        </w:rPr>
        <w:t>烫涮食材应先放入荤类食材，后放入素菜类烫食。</w:t>
      </w:r>
      <w:bookmarkEnd w:id="149"/>
      <w:bookmarkEnd w:id="150"/>
    </w:p>
    <w:p>
      <w:pPr>
        <w:adjustRightInd w:val="0"/>
        <w:snapToGrid w:val="0"/>
        <w:spacing w:line="360" w:lineRule="exact"/>
        <w:ind w:firstLine="420" w:firstLineChars="200"/>
        <w:rPr>
          <w:rFonts w:hAnsi="宋体"/>
          <w:color w:val="000000"/>
        </w:rPr>
      </w:pPr>
      <w:r>
        <w:rPr>
          <w:rFonts w:hint="eastAsia" w:hAnsi="宋体"/>
          <w:color w:val="000000"/>
        </w:rPr>
        <w:t>制作过程应符合GB 14881、GB/T 27306、</w:t>
      </w:r>
      <w:r>
        <w:rPr>
          <w:rFonts w:hint="eastAsia" w:ascii="宋体" w:hAnsi="宋体"/>
          <w:kern w:val="0"/>
          <w:szCs w:val="20"/>
        </w:rPr>
        <w:t>SB/T 10946</w:t>
      </w:r>
      <w:bookmarkStart w:id="164" w:name="_GoBack"/>
      <w:bookmarkEnd w:id="164"/>
      <w:r>
        <w:rPr>
          <w:rFonts w:hint="eastAsia" w:ascii="宋体" w:hAnsi="宋体"/>
          <w:kern w:val="0"/>
          <w:szCs w:val="20"/>
          <w:lang w:eastAsia="zh-CN"/>
        </w:rPr>
        <w:t>、</w:t>
      </w:r>
      <w:r>
        <w:rPr>
          <w:rFonts w:hint="eastAsia" w:hAnsi="宋体"/>
          <w:color w:val="000000"/>
          <w:szCs w:val="20"/>
        </w:rPr>
        <w:t>餐饮服务食品安全操作规范</w:t>
      </w:r>
      <w:r>
        <w:rPr>
          <w:rFonts w:hint="eastAsia" w:hAnsi="宋体"/>
          <w:color w:val="000000"/>
        </w:rPr>
        <w:t>的要求。</w:t>
      </w:r>
    </w:p>
    <w:bookmarkEnd w:id="129"/>
    <w:bookmarkEnd w:id="130"/>
    <w:bookmarkEnd w:id="131"/>
    <w:bookmarkEnd w:id="132"/>
    <w:p>
      <w:pPr>
        <w:pStyle w:val="47"/>
        <w:spacing w:before="312" w:after="312"/>
        <w:rPr>
          <w:b/>
        </w:rPr>
      </w:pPr>
      <w:bookmarkStart w:id="151" w:name="_Toc5695"/>
      <w:r>
        <w:rPr>
          <w:rFonts w:hint="eastAsia"/>
          <w:b/>
        </w:rPr>
        <w:t>质量要求</w:t>
      </w:r>
      <w:bookmarkEnd w:id="151"/>
    </w:p>
    <w:p>
      <w:pPr>
        <w:pStyle w:val="44"/>
        <w:spacing w:before="156" w:after="156"/>
      </w:pPr>
      <w:bookmarkStart w:id="152" w:name="_Toc9147"/>
      <w:r>
        <w:rPr>
          <w:rFonts w:hint="eastAsia"/>
        </w:rPr>
        <w:t>味型要求</w:t>
      </w:r>
      <w:bookmarkEnd w:id="152"/>
    </w:p>
    <w:p>
      <w:pPr>
        <w:pStyle w:val="21"/>
      </w:pPr>
      <w:r>
        <w:rPr>
          <w:rFonts w:hint="eastAsia"/>
        </w:rPr>
        <w:t>牛华麻辣烫的味型为麻辣味型。</w:t>
      </w:r>
    </w:p>
    <w:p>
      <w:pPr>
        <w:pStyle w:val="44"/>
        <w:spacing w:before="156" w:after="156"/>
        <w:rPr>
          <w:rFonts w:ascii="宋体" w:hAnsi="宋体" w:cs="宋体"/>
          <w:color w:val="000000"/>
        </w:rPr>
      </w:pPr>
      <w:bookmarkStart w:id="153" w:name="_Toc29278"/>
      <w:r>
        <w:rPr>
          <w:rFonts w:hint="eastAsia"/>
        </w:rPr>
        <w:t>感官要求</w:t>
      </w:r>
      <w:bookmarkEnd w:id="153"/>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感官指标应符合表4规定。</w:t>
      </w:r>
    </w:p>
    <w:p>
      <w:pPr>
        <w:pStyle w:val="129"/>
        <w:spacing w:before="156" w:after="156"/>
      </w:pPr>
      <w:r>
        <w:rPr>
          <w:rFonts w:hint="eastAsia"/>
        </w:rPr>
        <w:t>感官指标</w:t>
      </w:r>
    </w:p>
    <w:tbl>
      <w:tblPr>
        <w:tblStyle w:val="30"/>
        <w:tblW w:w="4420"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3827"/>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627"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项目</w:t>
            </w:r>
          </w:p>
        </w:tc>
        <w:tc>
          <w:tcPr>
            <w:tcW w:w="2261" w:type="pct"/>
            <w:noWrap/>
            <w:vAlign w:val="center"/>
          </w:tcPr>
          <w:p>
            <w:pPr>
              <w:pStyle w:val="21"/>
              <w:widowControl w:val="0"/>
              <w:ind w:firstLine="1260" w:firstLineChars="700"/>
              <w:rPr>
                <w:rFonts w:hAnsi="宋体" w:cs="宋体"/>
                <w:kern w:val="2"/>
                <w:sz w:val="18"/>
                <w:szCs w:val="18"/>
              </w:rPr>
            </w:pPr>
            <w:r>
              <w:rPr>
                <w:rFonts w:hint="eastAsia" w:hAnsi="宋体" w:cs="宋体"/>
                <w:kern w:val="2"/>
                <w:sz w:val="18"/>
                <w:szCs w:val="18"/>
              </w:rPr>
              <w:t>要求</w:t>
            </w:r>
          </w:p>
        </w:tc>
        <w:tc>
          <w:tcPr>
            <w:tcW w:w="2111" w:type="pct"/>
            <w:noWrap/>
            <w:vAlign w:val="center"/>
          </w:tcPr>
          <w:p>
            <w:pPr>
              <w:pStyle w:val="21"/>
              <w:widowControl w:val="0"/>
              <w:ind w:firstLine="1080" w:firstLineChars="600"/>
              <w:rPr>
                <w:rFonts w:hAnsi="宋体" w:cs="宋体"/>
                <w:kern w:val="2"/>
                <w:sz w:val="18"/>
                <w:szCs w:val="18"/>
              </w:rPr>
            </w:pPr>
            <w:r>
              <w:rPr>
                <w:rFonts w:hint="eastAsia" w:hAnsi="宋体" w:cs="宋体"/>
                <w:kern w:val="2"/>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27"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色泽</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色泽红亮</w:t>
            </w:r>
          </w:p>
        </w:tc>
        <w:tc>
          <w:tcPr>
            <w:tcW w:w="2111" w:type="pct"/>
            <w:vMerge w:val="restart"/>
            <w:noWrap/>
            <w:vAlign w:val="center"/>
          </w:tcPr>
          <w:p>
            <w:pPr>
              <w:widowControl/>
              <w:rPr>
                <w:rFonts w:ascii="宋体" w:hAnsi="宋体" w:cs="宋体"/>
                <w:sz w:val="18"/>
                <w:szCs w:val="18"/>
              </w:rPr>
            </w:pPr>
            <w:r>
              <w:rPr>
                <w:rFonts w:hint="eastAsia" w:ascii="宋体" w:hAnsi="宋体" w:cs="宋体"/>
                <w:color w:val="000000"/>
                <w:kern w:val="0"/>
                <w:sz w:val="18"/>
                <w:szCs w:val="18"/>
              </w:rPr>
              <w:t>通过目测、鼻闻、口尝进行检验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27"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质地</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具有食材应有的质地</w:t>
            </w:r>
          </w:p>
        </w:tc>
        <w:tc>
          <w:tcPr>
            <w:tcW w:w="2111" w:type="pct"/>
            <w:vMerge w:val="continue"/>
            <w:noWrap/>
          </w:tcPr>
          <w:p>
            <w:pPr>
              <w:pStyle w:val="21"/>
              <w:widowControl w:val="0"/>
              <w:ind w:firstLine="360"/>
              <w:rPr>
                <w:rFonts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627"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风味</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麻、辣、烫，味道浓厚</w:t>
            </w:r>
          </w:p>
        </w:tc>
        <w:tc>
          <w:tcPr>
            <w:tcW w:w="2111" w:type="pct"/>
            <w:vMerge w:val="continue"/>
            <w:noWrap/>
          </w:tcPr>
          <w:p>
            <w:pPr>
              <w:pStyle w:val="21"/>
              <w:widowControl w:val="0"/>
              <w:ind w:firstLine="360"/>
              <w:rPr>
                <w:rFonts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27" w:type="pct"/>
            <w:noWrap/>
            <w:vAlign w:val="center"/>
          </w:tcPr>
          <w:p>
            <w:pPr>
              <w:pStyle w:val="21"/>
              <w:widowControl w:val="0"/>
              <w:ind w:firstLine="180" w:firstLineChars="100"/>
              <w:rPr>
                <w:rFonts w:hAnsi="宋体" w:cs="宋体"/>
                <w:kern w:val="2"/>
                <w:sz w:val="18"/>
                <w:szCs w:val="18"/>
              </w:rPr>
            </w:pPr>
            <w:r>
              <w:rPr>
                <w:rFonts w:hint="eastAsia" w:hAnsi="宋体" w:cs="宋体"/>
                <w:kern w:val="2"/>
                <w:sz w:val="18"/>
                <w:szCs w:val="18"/>
              </w:rPr>
              <w:t>杂质</w:t>
            </w:r>
          </w:p>
        </w:tc>
        <w:tc>
          <w:tcPr>
            <w:tcW w:w="2261" w:type="pct"/>
            <w:noWrap/>
            <w:vAlign w:val="center"/>
          </w:tcPr>
          <w:p>
            <w:pPr>
              <w:pStyle w:val="21"/>
              <w:widowControl w:val="0"/>
              <w:ind w:firstLine="0" w:firstLineChars="0"/>
              <w:rPr>
                <w:rFonts w:hAnsi="宋体" w:cs="宋体"/>
                <w:kern w:val="2"/>
                <w:sz w:val="18"/>
                <w:szCs w:val="18"/>
              </w:rPr>
            </w:pPr>
            <w:r>
              <w:rPr>
                <w:rFonts w:hint="eastAsia" w:hAnsi="宋体" w:cs="宋体"/>
                <w:kern w:val="2"/>
                <w:sz w:val="18"/>
                <w:szCs w:val="18"/>
              </w:rPr>
              <w:t>无正常视力可见物</w:t>
            </w:r>
          </w:p>
        </w:tc>
        <w:tc>
          <w:tcPr>
            <w:tcW w:w="2111" w:type="pct"/>
            <w:vMerge w:val="continue"/>
            <w:noWrap/>
          </w:tcPr>
          <w:p>
            <w:pPr>
              <w:pStyle w:val="21"/>
              <w:widowControl w:val="0"/>
              <w:ind w:firstLine="360"/>
              <w:rPr>
                <w:rFonts w:hAnsi="宋体" w:cs="宋体"/>
                <w:kern w:val="2"/>
                <w:sz w:val="18"/>
                <w:szCs w:val="18"/>
              </w:rPr>
            </w:pPr>
          </w:p>
        </w:tc>
      </w:tr>
    </w:tbl>
    <w:p>
      <w:pPr>
        <w:pStyle w:val="44"/>
        <w:spacing w:before="156" w:after="156"/>
        <w:rPr>
          <w:rFonts w:ascii="宋体" w:hAnsi="宋体" w:cs="宋体"/>
          <w:color w:val="000000"/>
        </w:rPr>
      </w:pPr>
      <w:bookmarkStart w:id="154" w:name="_Toc932"/>
      <w:r>
        <w:rPr>
          <w:rFonts w:hint="eastAsia"/>
        </w:rPr>
        <w:t>出品温度及时间要求</w:t>
      </w:r>
      <w:bookmarkEnd w:id="154"/>
    </w:p>
    <w:p>
      <w:pPr>
        <w:pStyle w:val="21"/>
        <w:spacing w:line="360" w:lineRule="exact"/>
        <w:rPr>
          <w:rFonts w:hAnsi="宋体"/>
        </w:rPr>
      </w:pPr>
      <w:r>
        <w:rPr>
          <w:rFonts w:hint="eastAsia" w:hAnsi="宋体"/>
        </w:rPr>
        <w:t>菜品最佳食用温度：菜品中心温度为70℃以上。</w:t>
      </w:r>
    </w:p>
    <w:p>
      <w:pPr>
        <w:pStyle w:val="21"/>
        <w:spacing w:line="360" w:lineRule="exact"/>
        <w:rPr>
          <w:color w:val="0000FF"/>
        </w:rPr>
      </w:pPr>
      <w:r>
        <w:rPr>
          <w:rFonts w:hint="eastAsia" w:hAnsi="宋体"/>
        </w:rPr>
        <w:t>菜品最佳食用时间：制作完成至食用≤10min为宜</w:t>
      </w:r>
      <w:r>
        <w:rPr>
          <w:rFonts w:hint="eastAsia" w:hAnsi="宋体"/>
          <w:color w:val="0000FF"/>
        </w:rPr>
        <w:t>。</w:t>
      </w:r>
    </w:p>
    <w:p>
      <w:pPr>
        <w:pStyle w:val="47"/>
        <w:spacing w:before="312" w:after="312"/>
      </w:pPr>
      <w:bookmarkStart w:id="155" w:name="_Toc28918"/>
      <w:r>
        <w:rPr>
          <w:rFonts w:hint="eastAsia"/>
          <w:b/>
        </w:rPr>
        <w:t>卫生要求</w:t>
      </w:r>
      <w:bookmarkEnd w:id="155"/>
    </w:p>
    <w:p>
      <w:pPr>
        <w:pStyle w:val="21"/>
        <w:rPr>
          <w:color w:val="000000"/>
          <w:kern w:val="2"/>
          <w:szCs w:val="24"/>
        </w:rPr>
      </w:pPr>
      <w:r>
        <w:rPr>
          <w:rFonts w:hint="eastAsia"/>
          <w:color w:val="000000"/>
          <w:kern w:val="2"/>
          <w:szCs w:val="24"/>
        </w:rPr>
        <w:t>应符合《餐饮服务食品安全操作规范》和GB 14881的要求。</w:t>
      </w:r>
    </w:p>
    <w:p>
      <w:pPr>
        <w:pStyle w:val="47"/>
        <w:spacing w:before="312" w:after="312"/>
        <w:rPr>
          <w:b/>
        </w:rPr>
      </w:pPr>
      <w:bookmarkStart w:id="156" w:name="_Toc15233"/>
      <w:r>
        <w:rPr>
          <w:rFonts w:hint="eastAsia"/>
          <w:b/>
        </w:rPr>
        <w:t>服务要求</w:t>
      </w:r>
      <w:bookmarkEnd w:id="156"/>
    </w:p>
    <w:p>
      <w:pPr>
        <w:pStyle w:val="21"/>
        <w:ind w:firstLine="210" w:firstLineChars="100"/>
      </w:pPr>
      <w:r>
        <w:rPr>
          <w:rFonts w:hint="eastAsia"/>
          <w:color w:val="000000"/>
          <w:kern w:val="2"/>
          <w:szCs w:val="24"/>
        </w:rPr>
        <w:t>上菜服务是应符合DB51/T 2137的要求。</w:t>
      </w:r>
    </w:p>
    <w:p>
      <w:pPr>
        <w:pStyle w:val="47"/>
        <w:spacing w:before="312" w:after="312"/>
        <w:rPr>
          <w:rFonts w:ascii="宋体"/>
          <w:color w:val="000000"/>
        </w:rPr>
      </w:pPr>
      <w:bookmarkStart w:id="157" w:name="_Toc650"/>
      <w:r>
        <w:rPr>
          <w:rFonts w:hint="eastAsia"/>
          <w:b/>
        </w:rPr>
        <w:t>检验要求</w:t>
      </w:r>
      <w:bookmarkEnd w:id="157"/>
    </w:p>
    <w:p>
      <w:pPr>
        <w:pStyle w:val="44"/>
        <w:spacing w:before="156" w:after="156"/>
        <w:rPr>
          <w:rFonts w:ascii="宋体" w:hAnsi="宋体"/>
        </w:rPr>
      </w:pPr>
      <w:bookmarkStart w:id="158" w:name="_Toc25113"/>
      <w:bookmarkStart w:id="159" w:name="_Toc17082"/>
      <w:bookmarkStart w:id="160" w:name="_Toc24286"/>
      <w:r>
        <w:rPr>
          <w:rFonts w:hint="eastAsia" w:ascii="宋体" w:hAnsi="宋体"/>
        </w:rPr>
        <w:t>出菜检验</w:t>
      </w:r>
      <w:bookmarkEnd w:id="158"/>
      <w:bookmarkEnd w:id="159"/>
      <w:bookmarkEnd w:id="160"/>
    </w:p>
    <w:p>
      <w:pPr>
        <w:adjustRightInd w:val="0"/>
        <w:snapToGrid w:val="0"/>
        <w:spacing w:line="360" w:lineRule="exact"/>
        <w:ind w:firstLine="420" w:firstLineChars="200"/>
        <w:rPr>
          <w:rFonts w:ascii="宋体"/>
        </w:rPr>
      </w:pPr>
      <w:r>
        <w:rPr>
          <w:rFonts w:hint="eastAsia" w:ascii="宋体"/>
        </w:rPr>
        <w:t>菜品提供方应在出品前对菜品质量及卫生进行检验，检验合格后方可上菜。</w:t>
      </w:r>
    </w:p>
    <w:p>
      <w:pPr>
        <w:pStyle w:val="44"/>
        <w:spacing w:before="156" w:after="156"/>
        <w:rPr>
          <w:rFonts w:ascii="宋体" w:hAnsi="宋体"/>
        </w:rPr>
      </w:pPr>
      <w:bookmarkStart w:id="161" w:name="_Toc1346"/>
      <w:bookmarkStart w:id="162" w:name="_Toc24957"/>
      <w:bookmarkStart w:id="163" w:name="_Toc30721"/>
      <w:r>
        <w:rPr>
          <w:rFonts w:hint="eastAsia" w:ascii="宋体" w:hAnsi="宋体"/>
        </w:rPr>
        <w:t>验收检验</w:t>
      </w:r>
      <w:bookmarkEnd w:id="161"/>
      <w:bookmarkEnd w:id="162"/>
      <w:bookmarkEnd w:id="163"/>
    </w:p>
    <w:p>
      <w:pPr>
        <w:adjustRightInd w:val="0"/>
        <w:snapToGrid w:val="0"/>
        <w:spacing w:line="360" w:lineRule="exact"/>
        <w:ind w:firstLine="420" w:firstLineChars="200"/>
        <w:rPr>
          <w:rFonts w:ascii="宋体"/>
          <w:color w:val="000000"/>
        </w:rPr>
      </w:pPr>
      <w:r>
        <w:rPr>
          <w:rFonts w:hint="eastAsia" w:ascii="宋体"/>
          <w:color w:val="000000"/>
        </w:rPr>
        <w:t>顾客是感官指标的验收检验员之一，应对菜品质量及卫生进行验收。</w:t>
      </w:r>
    </w:p>
    <w:p>
      <w:pPr>
        <w:adjustRightInd w:val="0"/>
        <w:snapToGrid w:val="0"/>
        <w:spacing w:line="360" w:lineRule="exact"/>
        <w:rPr>
          <w:rFonts w:ascii="宋体"/>
          <w:color w:val="000000"/>
        </w:rPr>
      </w:pPr>
    </w:p>
    <w:p>
      <w:pPr>
        <w:pStyle w:val="132"/>
        <w:framePr w:wrap="around"/>
      </w:pPr>
      <w:r>
        <w:br w:type="page"/>
      </w:r>
      <w:r>
        <w:t>_________________________________</w:t>
      </w:r>
    </w:p>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DB5111/</w:t>
    </w:r>
    <w:r>
      <w:rPr>
        <w:rFonts w:hint="eastAsia"/>
      </w:rPr>
      <w:t>XX</w:t>
    </w:r>
    <w:r>
      <w:t>—202</w:t>
    </w:r>
    <w:r>
      <w:rPr>
        <w:rFonts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3700C6"/>
    <w:multiLevelType w:val="multilevel"/>
    <w:tmpl w:val="1D3700C6"/>
    <w:lvl w:ilvl="0" w:tentative="0">
      <w:start w:val="1"/>
      <w:numFmt w:val="decimal"/>
      <w:pStyle w:val="14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1276" w:firstLine="0"/>
      </w:pPr>
      <w:rPr>
        <w:rFonts w:hint="eastAsia" w:ascii="黑体" w:hAnsi="Times New Roman" w:eastAsia="黑体"/>
        <w:b w:val="0"/>
        <w:i w:val="0"/>
        <w:sz w:val="21"/>
      </w:rPr>
    </w:lvl>
    <w:lvl w:ilvl="4" w:tentative="0">
      <w:start w:val="1"/>
      <w:numFmt w:val="decimal"/>
      <w:pStyle w:val="57"/>
      <w:suff w:val="nothing"/>
      <w:lvlText w:val="%1.%2.%3.%4.%5　"/>
      <w:lvlJc w:val="left"/>
      <w:pPr>
        <w:ind w:left="-1276" w:firstLine="0"/>
      </w:pPr>
      <w:rPr>
        <w:rFonts w:hint="eastAsia" w:ascii="黑体" w:hAnsi="Times New Roman" w:eastAsia="黑体"/>
        <w:b w:val="0"/>
        <w:i w:val="0"/>
        <w:sz w:val="21"/>
      </w:rPr>
    </w:lvl>
    <w:lvl w:ilvl="5" w:tentative="0">
      <w:start w:val="1"/>
      <w:numFmt w:val="decimal"/>
      <w:pStyle w:val="58"/>
      <w:suff w:val="nothing"/>
      <w:lvlText w:val="%1.%2.%3.%4.%5.%6　"/>
      <w:lvlJc w:val="left"/>
      <w:pPr>
        <w:ind w:left="-1276" w:firstLine="0"/>
      </w:pPr>
      <w:rPr>
        <w:rFonts w:hint="eastAsia" w:ascii="黑体" w:hAnsi="Times New Roman" w:eastAsia="黑体"/>
        <w:b w:val="0"/>
        <w:i w:val="0"/>
        <w:sz w:val="21"/>
      </w:rPr>
    </w:lvl>
    <w:lvl w:ilvl="6" w:tentative="0">
      <w:start w:val="1"/>
      <w:numFmt w:val="decimal"/>
      <w:suff w:val="nothing"/>
      <w:lvlText w:val="%1%2.%3.%4.%5.%6.%7　"/>
      <w:lvlJc w:val="left"/>
      <w:pPr>
        <w:ind w:left="-1276" w:firstLine="0"/>
      </w:pPr>
      <w:rPr>
        <w:rFonts w:hint="eastAsia" w:ascii="黑体" w:hAnsi="Times New Roman" w:eastAsia="黑体"/>
        <w:b w:val="0"/>
        <w:i w:val="0"/>
        <w:sz w:val="21"/>
      </w:rPr>
    </w:lvl>
    <w:lvl w:ilvl="7" w:tentative="0">
      <w:start w:val="1"/>
      <w:numFmt w:val="decimal"/>
      <w:lvlText w:val="%1.%2.%3.%4.%5.%6.%7.%8"/>
      <w:lvlJc w:val="left"/>
      <w:pPr>
        <w:tabs>
          <w:tab w:val="left" w:pos="3075"/>
        </w:tabs>
        <w:ind w:left="2693" w:hanging="1418"/>
      </w:pPr>
      <w:rPr>
        <w:rFonts w:hint="eastAsia"/>
      </w:rPr>
    </w:lvl>
    <w:lvl w:ilvl="8" w:tentative="0">
      <w:start w:val="1"/>
      <w:numFmt w:val="decimal"/>
      <w:lvlText w:val="%1.%2.%3.%4.%5.%6.%7.%8.%9"/>
      <w:lvlJc w:val="left"/>
      <w:pPr>
        <w:tabs>
          <w:tab w:val="left" w:pos="3501"/>
        </w:tabs>
        <w:ind w:left="3401" w:hanging="1700"/>
      </w:pPr>
      <w:rPr>
        <w:rFonts w:hint="eastAsia"/>
      </w:rPr>
    </w:lvl>
  </w:abstractNum>
  <w:abstractNum w:abstractNumId="7">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403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2"/>
  </w:num>
  <w:num w:numId="5">
    <w:abstractNumId w:val="10"/>
  </w:num>
  <w:num w:numId="6">
    <w:abstractNumId w:val="17"/>
  </w:num>
  <w:num w:numId="7">
    <w:abstractNumId w:val="0"/>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1"/>
  </w:num>
  <w:num w:numId="15">
    <w:abstractNumId w:val="3"/>
  </w:num>
  <w:num w:numId="16">
    <w:abstractNumId w:val="14"/>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244"/>
    <w:rsid w:val="0000185F"/>
    <w:rsid w:val="0000586F"/>
    <w:rsid w:val="00007BAF"/>
    <w:rsid w:val="000122BF"/>
    <w:rsid w:val="00013D86"/>
    <w:rsid w:val="00013E02"/>
    <w:rsid w:val="00014B26"/>
    <w:rsid w:val="0002143C"/>
    <w:rsid w:val="000251FE"/>
    <w:rsid w:val="00025A65"/>
    <w:rsid w:val="00026C31"/>
    <w:rsid w:val="00027280"/>
    <w:rsid w:val="00030E27"/>
    <w:rsid w:val="000320A7"/>
    <w:rsid w:val="00035925"/>
    <w:rsid w:val="00041818"/>
    <w:rsid w:val="00042810"/>
    <w:rsid w:val="00066F96"/>
    <w:rsid w:val="00067CDF"/>
    <w:rsid w:val="000713DC"/>
    <w:rsid w:val="0007194D"/>
    <w:rsid w:val="00071B37"/>
    <w:rsid w:val="00074FBE"/>
    <w:rsid w:val="00075D95"/>
    <w:rsid w:val="00080217"/>
    <w:rsid w:val="00080B90"/>
    <w:rsid w:val="00083986"/>
    <w:rsid w:val="00083A09"/>
    <w:rsid w:val="000864A5"/>
    <w:rsid w:val="00086EF6"/>
    <w:rsid w:val="0009005E"/>
    <w:rsid w:val="00092857"/>
    <w:rsid w:val="00092FA2"/>
    <w:rsid w:val="000961DC"/>
    <w:rsid w:val="000A1066"/>
    <w:rsid w:val="000A20A9"/>
    <w:rsid w:val="000A2DF3"/>
    <w:rsid w:val="000A48B1"/>
    <w:rsid w:val="000B0734"/>
    <w:rsid w:val="000B3143"/>
    <w:rsid w:val="000C4A1C"/>
    <w:rsid w:val="000C6B05"/>
    <w:rsid w:val="000C6DD6"/>
    <w:rsid w:val="000C7073"/>
    <w:rsid w:val="000C73D4"/>
    <w:rsid w:val="000D0583"/>
    <w:rsid w:val="000D092D"/>
    <w:rsid w:val="000D0D1B"/>
    <w:rsid w:val="000D2D4B"/>
    <w:rsid w:val="000D3D4C"/>
    <w:rsid w:val="000D4F51"/>
    <w:rsid w:val="000D718B"/>
    <w:rsid w:val="000E02E0"/>
    <w:rsid w:val="000E0C46"/>
    <w:rsid w:val="000E1E26"/>
    <w:rsid w:val="000F030C"/>
    <w:rsid w:val="000F129C"/>
    <w:rsid w:val="000F3C93"/>
    <w:rsid w:val="000F6263"/>
    <w:rsid w:val="001027F7"/>
    <w:rsid w:val="00102B49"/>
    <w:rsid w:val="0010353D"/>
    <w:rsid w:val="001056DE"/>
    <w:rsid w:val="00106D09"/>
    <w:rsid w:val="00107D9C"/>
    <w:rsid w:val="001124C0"/>
    <w:rsid w:val="00123F57"/>
    <w:rsid w:val="0013175F"/>
    <w:rsid w:val="00133413"/>
    <w:rsid w:val="00137E3F"/>
    <w:rsid w:val="001512B4"/>
    <w:rsid w:val="00151CB1"/>
    <w:rsid w:val="001564A8"/>
    <w:rsid w:val="00160647"/>
    <w:rsid w:val="00162081"/>
    <w:rsid w:val="001620A5"/>
    <w:rsid w:val="00162FA2"/>
    <w:rsid w:val="00163CDC"/>
    <w:rsid w:val="00164E53"/>
    <w:rsid w:val="0016699D"/>
    <w:rsid w:val="001719F3"/>
    <w:rsid w:val="00171AFA"/>
    <w:rsid w:val="00175159"/>
    <w:rsid w:val="00176208"/>
    <w:rsid w:val="00180D0D"/>
    <w:rsid w:val="00181A8B"/>
    <w:rsid w:val="0018211B"/>
    <w:rsid w:val="00182FCA"/>
    <w:rsid w:val="001840D3"/>
    <w:rsid w:val="001861C7"/>
    <w:rsid w:val="00190072"/>
    <w:rsid w:val="001900F8"/>
    <w:rsid w:val="001907A1"/>
    <w:rsid w:val="0019121D"/>
    <w:rsid w:val="00191258"/>
    <w:rsid w:val="00192680"/>
    <w:rsid w:val="00193037"/>
    <w:rsid w:val="00193A2C"/>
    <w:rsid w:val="00195DA3"/>
    <w:rsid w:val="00196FF4"/>
    <w:rsid w:val="001A288E"/>
    <w:rsid w:val="001B49BC"/>
    <w:rsid w:val="001B4B4E"/>
    <w:rsid w:val="001B6DC2"/>
    <w:rsid w:val="001C149C"/>
    <w:rsid w:val="001C21AC"/>
    <w:rsid w:val="001C268A"/>
    <w:rsid w:val="001C2E94"/>
    <w:rsid w:val="001C3F73"/>
    <w:rsid w:val="001C47BA"/>
    <w:rsid w:val="001C595E"/>
    <w:rsid w:val="001C59EA"/>
    <w:rsid w:val="001C5A8C"/>
    <w:rsid w:val="001C5B63"/>
    <w:rsid w:val="001C6CDD"/>
    <w:rsid w:val="001D1AB4"/>
    <w:rsid w:val="001D406C"/>
    <w:rsid w:val="001D41EE"/>
    <w:rsid w:val="001D4691"/>
    <w:rsid w:val="001D6299"/>
    <w:rsid w:val="001D6335"/>
    <w:rsid w:val="001E0380"/>
    <w:rsid w:val="001E13B1"/>
    <w:rsid w:val="001E48CB"/>
    <w:rsid w:val="001E5F94"/>
    <w:rsid w:val="001F07AA"/>
    <w:rsid w:val="001F12BB"/>
    <w:rsid w:val="001F2CCA"/>
    <w:rsid w:val="001F3A19"/>
    <w:rsid w:val="001F409E"/>
    <w:rsid w:val="00203D40"/>
    <w:rsid w:val="00205631"/>
    <w:rsid w:val="00217654"/>
    <w:rsid w:val="00224A9C"/>
    <w:rsid w:val="00224D92"/>
    <w:rsid w:val="002339A7"/>
    <w:rsid w:val="00234467"/>
    <w:rsid w:val="002353DA"/>
    <w:rsid w:val="00237475"/>
    <w:rsid w:val="00237D8D"/>
    <w:rsid w:val="002406BE"/>
    <w:rsid w:val="00241DA2"/>
    <w:rsid w:val="00242359"/>
    <w:rsid w:val="00243450"/>
    <w:rsid w:val="00247FEE"/>
    <w:rsid w:val="00250E7D"/>
    <w:rsid w:val="00255356"/>
    <w:rsid w:val="00256021"/>
    <w:rsid w:val="002565D5"/>
    <w:rsid w:val="0025733C"/>
    <w:rsid w:val="002622C0"/>
    <w:rsid w:val="00262CA4"/>
    <w:rsid w:val="00264362"/>
    <w:rsid w:val="0026451C"/>
    <w:rsid w:val="0027401C"/>
    <w:rsid w:val="002778AE"/>
    <w:rsid w:val="00281697"/>
    <w:rsid w:val="0028269A"/>
    <w:rsid w:val="002829CF"/>
    <w:rsid w:val="00283590"/>
    <w:rsid w:val="00284E2F"/>
    <w:rsid w:val="00286973"/>
    <w:rsid w:val="002875FB"/>
    <w:rsid w:val="00294E70"/>
    <w:rsid w:val="00295E7B"/>
    <w:rsid w:val="00297073"/>
    <w:rsid w:val="002A05C4"/>
    <w:rsid w:val="002A1924"/>
    <w:rsid w:val="002A26B0"/>
    <w:rsid w:val="002A6CB9"/>
    <w:rsid w:val="002A7420"/>
    <w:rsid w:val="002B0F12"/>
    <w:rsid w:val="002B1308"/>
    <w:rsid w:val="002B4554"/>
    <w:rsid w:val="002B499D"/>
    <w:rsid w:val="002B763F"/>
    <w:rsid w:val="002C1271"/>
    <w:rsid w:val="002C1DFE"/>
    <w:rsid w:val="002C1E41"/>
    <w:rsid w:val="002C3368"/>
    <w:rsid w:val="002C72D8"/>
    <w:rsid w:val="002D11FA"/>
    <w:rsid w:val="002D27A3"/>
    <w:rsid w:val="002D4B0D"/>
    <w:rsid w:val="002D6112"/>
    <w:rsid w:val="002E0DBA"/>
    <w:rsid w:val="002E0DDF"/>
    <w:rsid w:val="002E2906"/>
    <w:rsid w:val="002E5635"/>
    <w:rsid w:val="002E64C3"/>
    <w:rsid w:val="002E6A2C"/>
    <w:rsid w:val="002F1065"/>
    <w:rsid w:val="002F159C"/>
    <w:rsid w:val="002F1D8C"/>
    <w:rsid w:val="002F21DA"/>
    <w:rsid w:val="002F4095"/>
    <w:rsid w:val="002F5083"/>
    <w:rsid w:val="00301F39"/>
    <w:rsid w:val="0030403E"/>
    <w:rsid w:val="00305166"/>
    <w:rsid w:val="003056C4"/>
    <w:rsid w:val="00312584"/>
    <w:rsid w:val="0031562D"/>
    <w:rsid w:val="003173BE"/>
    <w:rsid w:val="003214DC"/>
    <w:rsid w:val="00325926"/>
    <w:rsid w:val="00327A8A"/>
    <w:rsid w:val="0033294F"/>
    <w:rsid w:val="003363F2"/>
    <w:rsid w:val="00336610"/>
    <w:rsid w:val="00337234"/>
    <w:rsid w:val="00343F73"/>
    <w:rsid w:val="00345060"/>
    <w:rsid w:val="00345175"/>
    <w:rsid w:val="00347612"/>
    <w:rsid w:val="00347CA9"/>
    <w:rsid w:val="0035323B"/>
    <w:rsid w:val="003609D2"/>
    <w:rsid w:val="0036172F"/>
    <w:rsid w:val="00363F22"/>
    <w:rsid w:val="00364052"/>
    <w:rsid w:val="003715AE"/>
    <w:rsid w:val="00372A58"/>
    <w:rsid w:val="00373A2A"/>
    <w:rsid w:val="00375564"/>
    <w:rsid w:val="00376298"/>
    <w:rsid w:val="0037678D"/>
    <w:rsid w:val="00380B4F"/>
    <w:rsid w:val="00383191"/>
    <w:rsid w:val="0038434F"/>
    <w:rsid w:val="00386DED"/>
    <w:rsid w:val="003909BA"/>
    <w:rsid w:val="003912E7"/>
    <w:rsid w:val="003914DD"/>
    <w:rsid w:val="0039157D"/>
    <w:rsid w:val="00393947"/>
    <w:rsid w:val="00394817"/>
    <w:rsid w:val="003A2275"/>
    <w:rsid w:val="003A34D4"/>
    <w:rsid w:val="003A5E16"/>
    <w:rsid w:val="003A6A4F"/>
    <w:rsid w:val="003A6EEA"/>
    <w:rsid w:val="003A7088"/>
    <w:rsid w:val="003B00DF"/>
    <w:rsid w:val="003B063A"/>
    <w:rsid w:val="003B1275"/>
    <w:rsid w:val="003B1778"/>
    <w:rsid w:val="003B426E"/>
    <w:rsid w:val="003C11CB"/>
    <w:rsid w:val="003C4D6D"/>
    <w:rsid w:val="003C6299"/>
    <w:rsid w:val="003C62E1"/>
    <w:rsid w:val="003C7332"/>
    <w:rsid w:val="003C75F3"/>
    <w:rsid w:val="003C78A3"/>
    <w:rsid w:val="003C7A87"/>
    <w:rsid w:val="003C7ABE"/>
    <w:rsid w:val="003D219F"/>
    <w:rsid w:val="003D513A"/>
    <w:rsid w:val="003E1867"/>
    <w:rsid w:val="003E2A1F"/>
    <w:rsid w:val="003E3067"/>
    <w:rsid w:val="003E5729"/>
    <w:rsid w:val="003F0716"/>
    <w:rsid w:val="003F2ACA"/>
    <w:rsid w:val="003F38CD"/>
    <w:rsid w:val="003F4EE0"/>
    <w:rsid w:val="003F513D"/>
    <w:rsid w:val="003F79A7"/>
    <w:rsid w:val="00400FC7"/>
    <w:rsid w:val="004019E7"/>
    <w:rsid w:val="00402153"/>
    <w:rsid w:val="00402FC1"/>
    <w:rsid w:val="00404531"/>
    <w:rsid w:val="00420D44"/>
    <w:rsid w:val="0042331F"/>
    <w:rsid w:val="00425082"/>
    <w:rsid w:val="00426300"/>
    <w:rsid w:val="00431DEB"/>
    <w:rsid w:val="00443A7F"/>
    <w:rsid w:val="00446B29"/>
    <w:rsid w:val="00446F0E"/>
    <w:rsid w:val="00450389"/>
    <w:rsid w:val="00450B15"/>
    <w:rsid w:val="00450B95"/>
    <w:rsid w:val="00450EB6"/>
    <w:rsid w:val="004514BF"/>
    <w:rsid w:val="00453F9A"/>
    <w:rsid w:val="004553BD"/>
    <w:rsid w:val="00455426"/>
    <w:rsid w:val="004565CB"/>
    <w:rsid w:val="00463720"/>
    <w:rsid w:val="00471875"/>
    <w:rsid w:val="00471E91"/>
    <w:rsid w:val="0047279E"/>
    <w:rsid w:val="004741AA"/>
    <w:rsid w:val="00474675"/>
    <w:rsid w:val="0047470C"/>
    <w:rsid w:val="00475C0E"/>
    <w:rsid w:val="004765CF"/>
    <w:rsid w:val="0048454B"/>
    <w:rsid w:val="00484BA2"/>
    <w:rsid w:val="00485983"/>
    <w:rsid w:val="004955EF"/>
    <w:rsid w:val="004977B3"/>
    <w:rsid w:val="004A0ED8"/>
    <w:rsid w:val="004A309D"/>
    <w:rsid w:val="004A35F9"/>
    <w:rsid w:val="004A6903"/>
    <w:rsid w:val="004A75DF"/>
    <w:rsid w:val="004B1E3B"/>
    <w:rsid w:val="004B24C1"/>
    <w:rsid w:val="004B4AB1"/>
    <w:rsid w:val="004B6DBE"/>
    <w:rsid w:val="004C2433"/>
    <w:rsid w:val="004C292F"/>
    <w:rsid w:val="004C293E"/>
    <w:rsid w:val="004D003C"/>
    <w:rsid w:val="004D03DE"/>
    <w:rsid w:val="004D294D"/>
    <w:rsid w:val="004D33EF"/>
    <w:rsid w:val="004D3B14"/>
    <w:rsid w:val="004D50C6"/>
    <w:rsid w:val="004E0544"/>
    <w:rsid w:val="004E1BFF"/>
    <w:rsid w:val="004E44DD"/>
    <w:rsid w:val="004F2FCA"/>
    <w:rsid w:val="00500B04"/>
    <w:rsid w:val="00510280"/>
    <w:rsid w:val="00513D73"/>
    <w:rsid w:val="005146D5"/>
    <w:rsid w:val="00514A43"/>
    <w:rsid w:val="0051511F"/>
    <w:rsid w:val="005174E5"/>
    <w:rsid w:val="00522393"/>
    <w:rsid w:val="00522620"/>
    <w:rsid w:val="00524D84"/>
    <w:rsid w:val="00524E0D"/>
    <w:rsid w:val="00525656"/>
    <w:rsid w:val="00534C02"/>
    <w:rsid w:val="00536341"/>
    <w:rsid w:val="0054264B"/>
    <w:rsid w:val="00542A5A"/>
    <w:rsid w:val="00543786"/>
    <w:rsid w:val="00545E36"/>
    <w:rsid w:val="00550551"/>
    <w:rsid w:val="0055123A"/>
    <w:rsid w:val="00551DF9"/>
    <w:rsid w:val="005533D7"/>
    <w:rsid w:val="0055394F"/>
    <w:rsid w:val="005545F7"/>
    <w:rsid w:val="005635A9"/>
    <w:rsid w:val="0056729F"/>
    <w:rsid w:val="005703DE"/>
    <w:rsid w:val="0057376A"/>
    <w:rsid w:val="0058464E"/>
    <w:rsid w:val="0059045D"/>
    <w:rsid w:val="00594ED0"/>
    <w:rsid w:val="00596D3E"/>
    <w:rsid w:val="005A01CB"/>
    <w:rsid w:val="005A244B"/>
    <w:rsid w:val="005A504E"/>
    <w:rsid w:val="005A58FF"/>
    <w:rsid w:val="005A5EAF"/>
    <w:rsid w:val="005A64C0"/>
    <w:rsid w:val="005B3C11"/>
    <w:rsid w:val="005B43AE"/>
    <w:rsid w:val="005B6978"/>
    <w:rsid w:val="005C1C28"/>
    <w:rsid w:val="005C3E5D"/>
    <w:rsid w:val="005C6DB5"/>
    <w:rsid w:val="005C73E7"/>
    <w:rsid w:val="005D0F08"/>
    <w:rsid w:val="005D0F13"/>
    <w:rsid w:val="005D1846"/>
    <w:rsid w:val="005D46E1"/>
    <w:rsid w:val="005E19E7"/>
    <w:rsid w:val="005E56EB"/>
    <w:rsid w:val="005F725D"/>
    <w:rsid w:val="006006DD"/>
    <w:rsid w:val="0060456F"/>
    <w:rsid w:val="00604FF5"/>
    <w:rsid w:val="00606013"/>
    <w:rsid w:val="006061F4"/>
    <w:rsid w:val="006139FC"/>
    <w:rsid w:val="0061716C"/>
    <w:rsid w:val="00617BE8"/>
    <w:rsid w:val="00620299"/>
    <w:rsid w:val="006231D8"/>
    <w:rsid w:val="006243A1"/>
    <w:rsid w:val="00632E56"/>
    <w:rsid w:val="00635CBA"/>
    <w:rsid w:val="00636376"/>
    <w:rsid w:val="0064338B"/>
    <w:rsid w:val="00644287"/>
    <w:rsid w:val="00644F34"/>
    <w:rsid w:val="00646542"/>
    <w:rsid w:val="006504F4"/>
    <w:rsid w:val="00654BC9"/>
    <w:rsid w:val="006552FD"/>
    <w:rsid w:val="00656A7A"/>
    <w:rsid w:val="00663AF3"/>
    <w:rsid w:val="00665A0C"/>
    <w:rsid w:val="00666B6C"/>
    <w:rsid w:val="006679D1"/>
    <w:rsid w:val="00672E02"/>
    <w:rsid w:val="0067412C"/>
    <w:rsid w:val="00676EDC"/>
    <w:rsid w:val="00677FB0"/>
    <w:rsid w:val="00681317"/>
    <w:rsid w:val="00682682"/>
    <w:rsid w:val="00682702"/>
    <w:rsid w:val="006836D7"/>
    <w:rsid w:val="00684C0C"/>
    <w:rsid w:val="006859D5"/>
    <w:rsid w:val="00690420"/>
    <w:rsid w:val="00690E53"/>
    <w:rsid w:val="00691D2C"/>
    <w:rsid w:val="00692368"/>
    <w:rsid w:val="006948CC"/>
    <w:rsid w:val="006962E9"/>
    <w:rsid w:val="006A0689"/>
    <w:rsid w:val="006A2EBC"/>
    <w:rsid w:val="006A5EA0"/>
    <w:rsid w:val="006A783B"/>
    <w:rsid w:val="006A7B33"/>
    <w:rsid w:val="006B4E13"/>
    <w:rsid w:val="006B75DD"/>
    <w:rsid w:val="006C3E5C"/>
    <w:rsid w:val="006C515A"/>
    <w:rsid w:val="006C67E0"/>
    <w:rsid w:val="006C7ABA"/>
    <w:rsid w:val="006D0D60"/>
    <w:rsid w:val="006D1122"/>
    <w:rsid w:val="006D3043"/>
    <w:rsid w:val="006D3C00"/>
    <w:rsid w:val="006D5ED9"/>
    <w:rsid w:val="006E3675"/>
    <w:rsid w:val="006E4A7F"/>
    <w:rsid w:val="006E4D44"/>
    <w:rsid w:val="006E56FE"/>
    <w:rsid w:val="006F0326"/>
    <w:rsid w:val="006F0523"/>
    <w:rsid w:val="006F6D90"/>
    <w:rsid w:val="007004DB"/>
    <w:rsid w:val="007045C4"/>
    <w:rsid w:val="00704DF6"/>
    <w:rsid w:val="0070651C"/>
    <w:rsid w:val="00706685"/>
    <w:rsid w:val="007078DE"/>
    <w:rsid w:val="007131E2"/>
    <w:rsid w:val="007132A3"/>
    <w:rsid w:val="00714F8A"/>
    <w:rsid w:val="00716421"/>
    <w:rsid w:val="00721237"/>
    <w:rsid w:val="00724EFB"/>
    <w:rsid w:val="00725CA5"/>
    <w:rsid w:val="00727C6B"/>
    <w:rsid w:val="00731C0F"/>
    <w:rsid w:val="00734E64"/>
    <w:rsid w:val="007406BD"/>
    <w:rsid w:val="00740BC5"/>
    <w:rsid w:val="007419C3"/>
    <w:rsid w:val="00742347"/>
    <w:rsid w:val="007459A7"/>
    <w:rsid w:val="007467A7"/>
    <w:rsid w:val="007469DD"/>
    <w:rsid w:val="0074741B"/>
    <w:rsid w:val="0074759E"/>
    <w:rsid w:val="007478EA"/>
    <w:rsid w:val="0075415C"/>
    <w:rsid w:val="00754511"/>
    <w:rsid w:val="0075643A"/>
    <w:rsid w:val="00763502"/>
    <w:rsid w:val="00770662"/>
    <w:rsid w:val="00771A38"/>
    <w:rsid w:val="00774D93"/>
    <w:rsid w:val="00776D53"/>
    <w:rsid w:val="00786744"/>
    <w:rsid w:val="007913AB"/>
    <w:rsid w:val="007914F7"/>
    <w:rsid w:val="00792864"/>
    <w:rsid w:val="0079504C"/>
    <w:rsid w:val="007960D0"/>
    <w:rsid w:val="007A240F"/>
    <w:rsid w:val="007A34BD"/>
    <w:rsid w:val="007A53CA"/>
    <w:rsid w:val="007A6BC6"/>
    <w:rsid w:val="007A6CD4"/>
    <w:rsid w:val="007B1625"/>
    <w:rsid w:val="007B1F9D"/>
    <w:rsid w:val="007B2B62"/>
    <w:rsid w:val="007B3803"/>
    <w:rsid w:val="007B706E"/>
    <w:rsid w:val="007B71EB"/>
    <w:rsid w:val="007B7B32"/>
    <w:rsid w:val="007C4936"/>
    <w:rsid w:val="007C6135"/>
    <w:rsid w:val="007C6205"/>
    <w:rsid w:val="007C686A"/>
    <w:rsid w:val="007C728E"/>
    <w:rsid w:val="007D0483"/>
    <w:rsid w:val="007D2C53"/>
    <w:rsid w:val="007D3D60"/>
    <w:rsid w:val="007D5612"/>
    <w:rsid w:val="007D56C9"/>
    <w:rsid w:val="007E1980"/>
    <w:rsid w:val="007E2BA4"/>
    <w:rsid w:val="007E4B76"/>
    <w:rsid w:val="007E5EA8"/>
    <w:rsid w:val="007F0CF1"/>
    <w:rsid w:val="007F12A5"/>
    <w:rsid w:val="007F2D1F"/>
    <w:rsid w:val="007F34E2"/>
    <w:rsid w:val="007F4CF1"/>
    <w:rsid w:val="007F6404"/>
    <w:rsid w:val="007F72F0"/>
    <w:rsid w:val="007F758D"/>
    <w:rsid w:val="007F7D52"/>
    <w:rsid w:val="008014DD"/>
    <w:rsid w:val="008038FD"/>
    <w:rsid w:val="00804D78"/>
    <w:rsid w:val="00805A53"/>
    <w:rsid w:val="0080654C"/>
    <w:rsid w:val="00806868"/>
    <w:rsid w:val="008071C6"/>
    <w:rsid w:val="008077F2"/>
    <w:rsid w:val="0081326F"/>
    <w:rsid w:val="008155EC"/>
    <w:rsid w:val="00816D8C"/>
    <w:rsid w:val="00817A00"/>
    <w:rsid w:val="008203E7"/>
    <w:rsid w:val="00820972"/>
    <w:rsid w:val="008223C6"/>
    <w:rsid w:val="008225BF"/>
    <w:rsid w:val="00835DB3"/>
    <w:rsid w:val="0083617B"/>
    <w:rsid w:val="008371BD"/>
    <w:rsid w:val="00841013"/>
    <w:rsid w:val="008440C6"/>
    <w:rsid w:val="008504A8"/>
    <w:rsid w:val="0085282E"/>
    <w:rsid w:val="00861AA9"/>
    <w:rsid w:val="0086322F"/>
    <w:rsid w:val="00865126"/>
    <w:rsid w:val="0087198C"/>
    <w:rsid w:val="0087238E"/>
    <w:rsid w:val="00872C1F"/>
    <w:rsid w:val="00873B42"/>
    <w:rsid w:val="00875E62"/>
    <w:rsid w:val="00875EC3"/>
    <w:rsid w:val="008856D8"/>
    <w:rsid w:val="00892E82"/>
    <w:rsid w:val="008A205F"/>
    <w:rsid w:val="008A2455"/>
    <w:rsid w:val="008A2C9B"/>
    <w:rsid w:val="008A4FD0"/>
    <w:rsid w:val="008B10CC"/>
    <w:rsid w:val="008B7585"/>
    <w:rsid w:val="008C1B58"/>
    <w:rsid w:val="008C39AE"/>
    <w:rsid w:val="008C590D"/>
    <w:rsid w:val="008D21A2"/>
    <w:rsid w:val="008D325C"/>
    <w:rsid w:val="008D3FA3"/>
    <w:rsid w:val="008D4F1F"/>
    <w:rsid w:val="008D70B6"/>
    <w:rsid w:val="008E0309"/>
    <w:rsid w:val="008E031B"/>
    <w:rsid w:val="008E37ED"/>
    <w:rsid w:val="008E7029"/>
    <w:rsid w:val="008E7EF6"/>
    <w:rsid w:val="008F1F98"/>
    <w:rsid w:val="008F202C"/>
    <w:rsid w:val="008F6758"/>
    <w:rsid w:val="008F7847"/>
    <w:rsid w:val="00901096"/>
    <w:rsid w:val="009040DD"/>
    <w:rsid w:val="00905B47"/>
    <w:rsid w:val="009061C4"/>
    <w:rsid w:val="0091331C"/>
    <w:rsid w:val="00922085"/>
    <w:rsid w:val="009225DA"/>
    <w:rsid w:val="0092777C"/>
    <w:rsid w:val="009279DE"/>
    <w:rsid w:val="00930116"/>
    <w:rsid w:val="00930134"/>
    <w:rsid w:val="009306FE"/>
    <w:rsid w:val="00931BFD"/>
    <w:rsid w:val="00931D56"/>
    <w:rsid w:val="009345EF"/>
    <w:rsid w:val="009347FD"/>
    <w:rsid w:val="009401CF"/>
    <w:rsid w:val="0094212C"/>
    <w:rsid w:val="00952CFB"/>
    <w:rsid w:val="00954689"/>
    <w:rsid w:val="009574F6"/>
    <w:rsid w:val="009617C9"/>
    <w:rsid w:val="00961C93"/>
    <w:rsid w:val="00963AB9"/>
    <w:rsid w:val="00963E04"/>
    <w:rsid w:val="009648F5"/>
    <w:rsid w:val="00964A3C"/>
    <w:rsid w:val="00965324"/>
    <w:rsid w:val="00965853"/>
    <w:rsid w:val="0097091E"/>
    <w:rsid w:val="009760D3"/>
    <w:rsid w:val="00976100"/>
    <w:rsid w:val="00977132"/>
    <w:rsid w:val="0098106D"/>
    <w:rsid w:val="00981A4B"/>
    <w:rsid w:val="00982501"/>
    <w:rsid w:val="0098663E"/>
    <w:rsid w:val="0098689E"/>
    <w:rsid w:val="009877D3"/>
    <w:rsid w:val="009916DB"/>
    <w:rsid w:val="0099436E"/>
    <w:rsid w:val="00994E8F"/>
    <w:rsid w:val="009951DC"/>
    <w:rsid w:val="009959BB"/>
    <w:rsid w:val="00996A8C"/>
    <w:rsid w:val="00996D17"/>
    <w:rsid w:val="00997158"/>
    <w:rsid w:val="009A082E"/>
    <w:rsid w:val="009A3521"/>
    <w:rsid w:val="009A3A7C"/>
    <w:rsid w:val="009A5723"/>
    <w:rsid w:val="009A70B4"/>
    <w:rsid w:val="009A739E"/>
    <w:rsid w:val="009A7E3E"/>
    <w:rsid w:val="009B2ADB"/>
    <w:rsid w:val="009B4FB2"/>
    <w:rsid w:val="009B603A"/>
    <w:rsid w:val="009C2D0E"/>
    <w:rsid w:val="009C3DAC"/>
    <w:rsid w:val="009C3E5A"/>
    <w:rsid w:val="009C42E0"/>
    <w:rsid w:val="009C4C62"/>
    <w:rsid w:val="009D025E"/>
    <w:rsid w:val="009D1140"/>
    <w:rsid w:val="009D4739"/>
    <w:rsid w:val="009D5362"/>
    <w:rsid w:val="009D5B51"/>
    <w:rsid w:val="009E1415"/>
    <w:rsid w:val="009E2609"/>
    <w:rsid w:val="009E51B0"/>
    <w:rsid w:val="009E51DB"/>
    <w:rsid w:val="009E59A4"/>
    <w:rsid w:val="009E5C09"/>
    <w:rsid w:val="009E6116"/>
    <w:rsid w:val="009F2034"/>
    <w:rsid w:val="009F436F"/>
    <w:rsid w:val="009F4B66"/>
    <w:rsid w:val="009F57B3"/>
    <w:rsid w:val="009F6634"/>
    <w:rsid w:val="00A02E43"/>
    <w:rsid w:val="00A05AE8"/>
    <w:rsid w:val="00A065F9"/>
    <w:rsid w:val="00A07F34"/>
    <w:rsid w:val="00A201D1"/>
    <w:rsid w:val="00A22154"/>
    <w:rsid w:val="00A22515"/>
    <w:rsid w:val="00A23C73"/>
    <w:rsid w:val="00A24C7E"/>
    <w:rsid w:val="00A25061"/>
    <w:rsid w:val="00A25C38"/>
    <w:rsid w:val="00A25CB5"/>
    <w:rsid w:val="00A36BBE"/>
    <w:rsid w:val="00A42266"/>
    <w:rsid w:val="00A4286D"/>
    <w:rsid w:val="00A4307A"/>
    <w:rsid w:val="00A445BB"/>
    <w:rsid w:val="00A45281"/>
    <w:rsid w:val="00A470E4"/>
    <w:rsid w:val="00A47EBB"/>
    <w:rsid w:val="00A51C12"/>
    <w:rsid w:val="00A51CDD"/>
    <w:rsid w:val="00A51F7D"/>
    <w:rsid w:val="00A5497D"/>
    <w:rsid w:val="00A56F31"/>
    <w:rsid w:val="00A621B3"/>
    <w:rsid w:val="00A64FE6"/>
    <w:rsid w:val="00A65707"/>
    <w:rsid w:val="00A6730D"/>
    <w:rsid w:val="00A71625"/>
    <w:rsid w:val="00A71B9B"/>
    <w:rsid w:val="00A72D34"/>
    <w:rsid w:val="00A73BFF"/>
    <w:rsid w:val="00A751C7"/>
    <w:rsid w:val="00A777FD"/>
    <w:rsid w:val="00A87844"/>
    <w:rsid w:val="00A92DA2"/>
    <w:rsid w:val="00AA038C"/>
    <w:rsid w:val="00AA26B8"/>
    <w:rsid w:val="00AA3795"/>
    <w:rsid w:val="00AA5699"/>
    <w:rsid w:val="00AA7A09"/>
    <w:rsid w:val="00AB3B50"/>
    <w:rsid w:val="00AB4B61"/>
    <w:rsid w:val="00AB56DF"/>
    <w:rsid w:val="00AC05B1"/>
    <w:rsid w:val="00AC5471"/>
    <w:rsid w:val="00AC601B"/>
    <w:rsid w:val="00AC7668"/>
    <w:rsid w:val="00AD331B"/>
    <w:rsid w:val="00AD356C"/>
    <w:rsid w:val="00AD4277"/>
    <w:rsid w:val="00AE2914"/>
    <w:rsid w:val="00AE6D15"/>
    <w:rsid w:val="00AF0EA7"/>
    <w:rsid w:val="00B03F9A"/>
    <w:rsid w:val="00B04182"/>
    <w:rsid w:val="00B06DF2"/>
    <w:rsid w:val="00B07AE3"/>
    <w:rsid w:val="00B07C43"/>
    <w:rsid w:val="00B10492"/>
    <w:rsid w:val="00B11430"/>
    <w:rsid w:val="00B115E5"/>
    <w:rsid w:val="00B11917"/>
    <w:rsid w:val="00B26FEF"/>
    <w:rsid w:val="00B27A00"/>
    <w:rsid w:val="00B353EB"/>
    <w:rsid w:val="00B354AA"/>
    <w:rsid w:val="00B40FFE"/>
    <w:rsid w:val="00B439C4"/>
    <w:rsid w:val="00B44BCC"/>
    <w:rsid w:val="00B4535E"/>
    <w:rsid w:val="00B468EA"/>
    <w:rsid w:val="00B506E3"/>
    <w:rsid w:val="00B50D1A"/>
    <w:rsid w:val="00B52A8C"/>
    <w:rsid w:val="00B54E24"/>
    <w:rsid w:val="00B55845"/>
    <w:rsid w:val="00B60AC3"/>
    <w:rsid w:val="00B636A8"/>
    <w:rsid w:val="00B654A0"/>
    <w:rsid w:val="00B65DF4"/>
    <w:rsid w:val="00B665C6"/>
    <w:rsid w:val="00B66B83"/>
    <w:rsid w:val="00B705EB"/>
    <w:rsid w:val="00B75F40"/>
    <w:rsid w:val="00B77B02"/>
    <w:rsid w:val="00B805AF"/>
    <w:rsid w:val="00B81702"/>
    <w:rsid w:val="00B83FDC"/>
    <w:rsid w:val="00B8656F"/>
    <w:rsid w:val="00B869EC"/>
    <w:rsid w:val="00B9397A"/>
    <w:rsid w:val="00B95D45"/>
    <w:rsid w:val="00B9633D"/>
    <w:rsid w:val="00B96678"/>
    <w:rsid w:val="00B96CD0"/>
    <w:rsid w:val="00B97D86"/>
    <w:rsid w:val="00BA2EBE"/>
    <w:rsid w:val="00BA43F2"/>
    <w:rsid w:val="00BA4FAA"/>
    <w:rsid w:val="00BB0F28"/>
    <w:rsid w:val="00BB458A"/>
    <w:rsid w:val="00BB7484"/>
    <w:rsid w:val="00BD00D3"/>
    <w:rsid w:val="00BD1659"/>
    <w:rsid w:val="00BD1C78"/>
    <w:rsid w:val="00BD3AA9"/>
    <w:rsid w:val="00BD4722"/>
    <w:rsid w:val="00BD4A18"/>
    <w:rsid w:val="00BD6DB2"/>
    <w:rsid w:val="00BD7628"/>
    <w:rsid w:val="00BE049F"/>
    <w:rsid w:val="00BE0D89"/>
    <w:rsid w:val="00BE11CF"/>
    <w:rsid w:val="00BE21AB"/>
    <w:rsid w:val="00BE281F"/>
    <w:rsid w:val="00BE55CB"/>
    <w:rsid w:val="00BF052F"/>
    <w:rsid w:val="00BF0D23"/>
    <w:rsid w:val="00BF17EA"/>
    <w:rsid w:val="00BF4833"/>
    <w:rsid w:val="00BF617A"/>
    <w:rsid w:val="00C0379D"/>
    <w:rsid w:val="00C03931"/>
    <w:rsid w:val="00C04217"/>
    <w:rsid w:val="00C0439A"/>
    <w:rsid w:val="00C05FE3"/>
    <w:rsid w:val="00C061CC"/>
    <w:rsid w:val="00C1042D"/>
    <w:rsid w:val="00C10F52"/>
    <w:rsid w:val="00C11181"/>
    <w:rsid w:val="00C112F8"/>
    <w:rsid w:val="00C11692"/>
    <w:rsid w:val="00C13DF0"/>
    <w:rsid w:val="00C14649"/>
    <w:rsid w:val="00C146E0"/>
    <w:rsid w:val="00C14ECA"/>
    <w:rsid w:val="00C155BD"/>
    <w:rsid w:val="00C20E6E"/>
    <w:rsid w:val="00C2136D"/>
    <w:rsid w:val="00C214EE"/>
    <w:rsid w:val="00C22740"/>
    <w:rsid w:val="00C2314B"/>
    <w:rsid w:val="00C24971"/>
    <w:rsid w:val="00C26BE5"/>
    <w:rsid w:val="00C26E4D"/>
    <w:rsid w:val="00C26EF1"/>
    <w:rsid w:val="00C27879"/>
    <w:rsid w:val="00C27909"/>
    <w:rsid w:val="00C27B03"/>
    <w:rsid w:val="00C314E1"/>
    <w:rsid w:val="00C32CE1"/>
    <w:rsid w:val="00C34397"/>
    <w:rsid w:val="00C37164"/>
    <w:rsid w:val="00C37C29"/>
    <w:rsid w:val="00C4095D"/>
    <w:rsid w:val="00C45B3A"/>
    <w:rsid w:val="00C56A30"/>
    <w:rsid w:val="00C56A64"/>
    <w:rsid w:val="00C601D2"/>
    <w:rsid w:val="00C62094"/>
    <w:rsid w:val="00C625BF"/>
    <w:rsid w:val="00C62E4C"/>
    <w:rsid w:val="00C65BCC"/>
    <w:rsid w:val="00C66970"/>
    <w:rsid w:val="00C73C1D"/>
    <w:rsid w:val="00C745C9"/>
    <w:rsid w:val="00C81D71"/>
    <w:rsid w:val="00C83F80"/>
    <w:rsid w:val="00C84F2A"/>
    <w:rsid w:val="00C8691C"/>
    <w:rsid w:val="00C901AB"/>
    <w:rsid w:val="00C930B8"/>
    <w:rsid w:val="00C94766"/>
    <w:rsid w:val="00C96095"/>
    <w:rsid w:val="00CA168A"/>
    <w:rsid w:val="00CA357E"/>
    <w:rsid w:val="00CA44F9"/>
    <w:rsid w:val="00CA4A69"/>
    <w:rsid w:val="00CB265F"/>
    <w:rsid w:val="00CB3531"/>
    <w:rsid w:val="00CC3E0C"/>
    <w:rsid w:val="00CC5431"/>
    <w:rsid w:val="00CC58D3"/>
    <w:rsid w:val="00CC784D"/>
    <w:rsid w:val="00CC7F7B"/>
    <w:rsid w:val="00CD221F"/>
    <w:rsid w:val="00CD2DA5"/>
    <w:rsid w:val="00CD3BB4"/>
    <w:rsid w:val="00CD4285"/>
    <w:rsid w:val="00CD6B2F"/>
    <w:rsid w:val="00CD7874"/>
    <w:rsid w:val="00CE152F"/>
    <w:rsid w:val="00CF1420"/>
    <w:rsid w:val="00CF784E"/>
    <w:rsid w:val="00CF7A48"/>
    <w:rsid w:val="00D01081"/>
    <w:rsid w:val="00D02EB3"/>
    <w:rsid w:val="00D0337B"/>
    <w:rsid w:val="00D067A9"/>
    <w:rsid w:val="00D079B2"/>
    <w:rsid w:val="00D114E9"/>
    <w:rsid w:val="00D14A29"/>
    <w:rsid w:val="00D22EBF"/>
    <w:rsid w:val="00D25645"/>
    <w:rsid w:val="00D300E6"/>
    <w:rsid w:val="00D34EFE"/>
    <w:rsid w:val="00D429C6"/>
    <w:rsid w:val="00D44358"/>
    <w:rsid w:val="00D44E9E"/>
    <w:rsid w:val="00D47748"/>
    <w:rsid w:val="00D54CC3"/>
    <w:rsid w:val="00D54E8A"/>
    <w:rsid w:val="00D6041A"/>
    <w:rsid w:val="00D633EB"/>
    <w:rsid w:val="00D643E7"/>
    <w:rsid w:val="00D7038E"/>
    <w:rsid w:val="00D71D2B"/>
    <w:rsid w:val="00D74959"/>
    <w:rsid w:val="00D758F7"/>
    <w:rsid w:val="00D76606"/>
    <w:rsid w:val="00D82860"/>
    <w:rsid w:val="00D82FF7"/>
    <w:rsid w:val="00D847FE"/>
    <w:rsid w:val="00D84DE4"/>
    <w:rsid w:val="00D90DDA"/>
    <w:rsid w:val="00D91548"/>
    <w:rsid w:val="00D95FA3"/>
    <w:rsid w:val="00D964EA"/>
    <w:rsid w:val="00D966D0"/>
    <w:rsid w:val="00D97C5A"/>
    <w:rsid w:val="00DA08FA"/>
    <w:rsid w:val="00DA0C59"/>
    <w:rsid w:val="00DA10C1"/>
    <w:rsid w:val="00DA3991"/>
    <w:rsid w:val="00DA42BF"/>
    <w:rsid w:val="00DA7F25"/>
    <w:rsid w:val="00DB11A8"/>
    <w:rsid w:val="00DB74EA"/>
    <w:rsid w:val="00DB7C79"/>
    <w:rsid w:val="00DB7E6C"/>
    <w:rsid w:val="00DC18E8"/>
    <w:rsid w:val="00DC2870"/>
    <w:rsid w:val="00DC7A27"/>
    <w:rsid w:val="00DC7DA9"/>
    <w:rsid w:val="00DD5A29"/>
    <w:rsid w:val="00DD5D9D"/>
    <w:rsid w:val="00DE2D94"/>
    <w:rsid w:val="00DE35CB"/>
    <w:rsid w:val="00DF066D"/>
    <w:rsid w:val="00DF1EB3"/>
    <w:rsid w:val="00DF21E9"/>
    <w:rsid w:val="00DF74F0"/>
    <w:rsid w:val="00E00F14"/>
    <w:rsid w:val="00E06386"/>
    <w:rsid w:val="00E118FB"/>
    <w:rsid w:val="00E22C87"/>
    <w:rsid w:val="00E24EB4"/>
    <w:rsid w:val="00E30BF8"/>
    <w:rsid w:val="00E320ED"/>
    <w:rsid w:val="00E322FD"/>
    <w:rsid w:val="00E337C5"/>
    <w:rsid w:val="00E33AFB"/>
    <w:rsid w:val="00E34218"/>
    <w:rsid w:val="00E444F4"/>
    <w:rsid w:val="00E44586"/>
    <w:rsid w:val="00E46282"/>
    <w:rsid w:val="00E515D7"/>
    <w:rsid w:val="00E5216E"/>
    <w:rsid w:val="00E751F2"/>
    <w:rsid w:val="00E75C49"/>
    <w:rsid w:val="00E811AC"/>
    <w:rsid w:val="00E82344"/>
    <w:rsid w:val="00E83005"/>
    <w:rsid w:val="00E8374B"/>
    <w:rsid w:val="00E84C82"/>
    <w:rsid w:val="00E84D64"/>
    <w:rsid w:val="00E87408"/>
    <w:rsid w:val="00E90D95"/>
    <w:rsid w:val="00E914C4"/>
    <w:rsid w:val="00E91AEC"/>
    <w:rsid w:val="00E934F5"/>
    <w:rsid w:val="00E96961"/>
    <w:rsid w:val="00EA5C73"/>
    <w:rsid w:val="00EA69A7"/>
    <w:rsid w:val="00EA72EC"/>
    <w:rsid w:val="00EB11CB"/>
    <w:rsid w:val="00EB275A"/>
    <w:rsid w:val="00EB572C"/>
    <w:rsid w:val="00EB69E6"/>
    <w:rsid w:val="00EB6CD3"/>
    <w:rsid w:val="00EB786A"/>
    <w:rsid w:val="00EC06E9"/>
    <w:rsid w:val="00EC1578"/>
    <w:rsid w:val="00EC1798"/>
    <w:rsid w:val="00EC1C72"/>
    <w:rsid w:val="00EC1F8A"/>
    <w:rsid w:val="00EC3CC9"/>
    <w:rsid w:val="00EC680A"/>
    <w:rsid w:val="00EC7108"/>
    <w:rsid w:val="00ED280A"/>
    <w:rsid w:val="00ED3EFA"/>
    <w:rsid w:val="00ED4E70"/>
    <w:rsid w:val="00ED529E"/>
    <w:rsid w:val="00ED5A72"/>
    <w:rsid w:val="00EE2B84"/>
    <w:rsid w:val="00EE2BED"/>
    <w:rsid w:val="00EE374B"/>
    <w:rsid w:val="00EE3E83"/>
    <w:rsid w:val="00EE6BCD"/>
    <w:rsid w:val="00EF5A62"/>
    <w:rsid w:val="00F011A0"/>
    <w:rsid w:val="00F07C77"/>
    <w:rsid w:val="00F11BB5"/>
    <w:rsid w:val="00F1341C"/>
    <w:rsid w:val="00F1417B"/>
    <w:rsid w:val="00F148C3"/>
    <w:rsid w:val="00F232C1"/>
    <w:rsid w:val="00F27678"/>
    <w:rsid w:val="00F32544"/>
    <w:rsid w:val="00F34B99"/>
    <w:rsid w:val="00F36E02"/>
    <w:rsid w:val="00F422B6"/>
    <w:rsid w:val="00F4528A"/>
    <w:rsid w:val="00F47315"/>
    <w:rsid w:val="00F500AA"/>
    <w:rsid w:val="00F52DAB"/>
    <w:rsid w:val="00F53BAB"/>
    <w:rsid w:val="00F543F0"/>
    <w:rsid w:val="00F547E0"/>
    <w:rsid w:val="00F55BF3"/>
    <w:rsid w:val="00F57539"/>
    <w:rsid w:val="00F6265D"/>
    <w:rsid w:val="00F73F2A"/>
    <w:rsid w:val="00F74F7C"/>
    <w:rsid w:val="00F81D29"/>
    <w:rsid w:val="00F834FF"/>
    <w:rsid w:val="00F84AE3"/>
    <w:rsid w:val="00F91C4D"/>
    <w:rsid w:val="00F92367"/>
    <w:rsid w:val="00F92FD9"/>
    <w:rsid w:val="00F935DD"/>
    <w:rsid w:val="00FA117C"/>
    <w:rsid w:val="00FA3F09"/>
    <w:rsid w:val="00FA465D"/>
    <w:rsid w:val="00FA6684"/>
    <w:rsid w:val="00FA731E"/>
    <w:rsid w:val="00FB2B38"/>
    <w:rsid w:val="00FB3B2B"/>
    <w:rsid w:val="00FB4B69"/>
    <w:rsid w:val="00FC6358"/>
    <w:rsid w:val="00FD1748"/>
    <w:rsid w:val="00FD2F55"/>
    <w:rsid w:val="00FD320D"/>
    <w:rsid w:val="00FE23DE"/>
    <w:rsid w:val="00FE2FE2"/>
    <w:rsid w:val="00FE51EC"/>
    <w:rsid w:val="00FE6617"/>
    <w:rsid w:val="00FF3C6D"/>
    <w:rsid w:val="00FF475D"/>
    <w:rsid w:val="00FF4D86"/>
    <w:rsid w:val="00FF6654"/>
    <w:rsid w:val="01647B64"/>
    <w:rsid w:val="01B52701"/>
    <w:rsid w:val="02BA3214"/>
    <w:rsid w:val="03A00323"/>
    <w:rsid w:val="04D06D8B"/>
    <w:rsid w:val="04ED5D8A"/>
    <w:rsid w:val="057D48C3"/>
    <w:rsid w:val="05A67CCB"/>
    <w:rsid w:val="08221369"/>
    <w:rsid w:val="0910586C"/>
    <w:rsid w:val="0D6F2B77"/>
    <w:rsid w:val="0DAC30E4"/>
    <w:rsid w:val="0E2F19E8"/>
    <w:rsid w:val="113606A1"/>
    <w:rsid w:val="13D53451"/>
    <w:rsid w:val="16F56847"/>
    <w:rsid w:val="1BF13DA1"/>
    <w:rsid w:val="1D8F44C3"/>
    <w:rsid w:val="1F195E42"/>
    <w:rsid w:val="217A4769"/>
    <w:rsid w:val="21F11301"/>
    <w:rsid w:val="232F726F"/>
    <w:rsid w:val="25AC312C"/>
    <w:rsid w:val="28137794"/>
    <w:rsid w:val="2EC77297"/>
    <w:rsid w:val="2F295F45"/>
    <w:rsid w:val="322240E5"/>
    <w:rsid w:val="33EF4D7F"/>
    <w:rsid w:val="373C6E83"/>
    <w:rsid w:val="38ED5D28"/>
    <w:rsid w:val="3DF21ABC"/>
    <w:rsid w:val="3FDC6F2A"/>
    <w:rsid w:val="41C41E49"/>
    <w:rsid w:val="423F2E3E"/>
    <w:rsid w:val="44185682"/>
    <w:rsid w:val="449446F7"/>
    <w:rsid w:val="45DD7F8E"/>
    <w:rsid w:val="475F5F9D"/>
    <w:rsid w:val="47EA3638"/>
    <w:rsid w:val="48A50290"/>
    <w:rsid w:val="49D806C9"/>
    <w:rsid w:val="49EF6974"/>
    <w:rsid w:val="4B2569C4"/>
    <w:rsid w:val="4B375655"/>
    <w:rsid w:val="4C342599"/>
    <w:rsid w:val="4DD85F43"/>
    <w:rsid w:val="4E9E134A"/>
    <w:rsid w:val="511419E5"/>
    <w:rsid w:val="51C0384F"/>
    <w:rsid w:val="56FF7C24"/>
    <w:rsid w:val="59830BD3"/>
    <w:rsid w:val="5A0B2033"/>
    <w:rsid w:val="5AB50496"/>
    <w:rsid w:val="5B481818"/>
    <w:rsid w:val="5D285308"/>
    <w:rsid w:val="62CD1C5D"/>
    <w:rsid w:val="64991A15"/>
    <w:rsid w:val="65EE73D2"/>
    <w:rsid w:val="667F7611"/>
    <w:rsid w:val="67E619F8"/>
    <w:rsid w:val="69B01A0E"/>
    <w:rsid w:val="6B6F08C4"/>
    <w:rsid w:val="6C112C78"/>
    <w:rsid w:val="6C917D01"/>
    <w:rsid w:val="7000177B"/>
    <w:rsid w:val="787D0540"/>
    <w:rsid w:val="7A006A90"/>
    <w:rsid w:val="7CCE697F"/>
    <w:rsid w:val="7DB732FF"/>
    <w:rsid w:val="7E4A06A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semiHidden/>
    <w:qFormat/>
    <w:uiPriority w:val="0"/>
    <w:rPr>
      <w:sz w:val="18"/>
      <w:szCs w:val="18"/>
    </w:rPr>
  </w:style>
  <w:style w:type="paragraph" w:styleId="15">
    <w:name w:val="footer"/>
    <w:basedOn w:val="1"/>
    <w:link w:val="40"/>
    <w:qFormat/>
    <w:uiPriority w:val="99"/>
    <w:pPr>
      <w:snapToGrid w:val="0"/>
      <w:ind w:right="210" w:rightChars="100"/>
      <w:jc w:val="right"/>
    </w:pPr>
    <w:rPr>
      <w:sz w:val="18"/>
      <w:szCs w:val="18"/>
    </w:rPr>
  </w:style>
  <w:style w:type="paragraph" w:styleId="16">
    <w:name w:val="header"/>
    <w:basedOn w:val="1"/>
    <w:link w:val="41"/>
    <w:qFormat/>
    <w:uiPriority w:val="99"/>
    <w:pPr>
      <w:snapToGrid w:val="0"/>
      <w:jc w:val="left"/>
    </w:pPr>
    <w:rPr>
      <w:sz w:val="18"/>
      <w:szCs w:val="18"/>
    </w:rPr>
  </w:style>
  <w:style w:type="paragraph" w:styleId="17">
    <w:name w:val="toc 1"/>
    <w:basedOn w:val="1"/>
    <w:next w:val="1"/>
    <w:link w:val="42"/>
    <w:qFormat/>
    <w:uiPriority w:val="0"/>
    <w:pPr>
      <w:tabs>
        <w:tab w:val="right" w:leader="dot" w:pos="9241"/>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Emphasis"/>
    <w:qFormat/>
    <w:uiPriority w:val="0"/>
    <w:rPr>
      <w:color w:val="CC0000"/>
    </w:rPr>
  </w:style>
  <w:style w:type="character" w:styleId="38">
    <w:name w:val="Hyperlink"/>
    <w:qFormat/>
    <w:uiPriority w:val="99"/>
    <w:rPr>
      <w:color w:val="0000FF"/>
      <w:spacing w:val="0"/>
      <w:w w:val="100"/>
      <w:szCs w:val="21"/>
      <w:u w:val="single"/>
    </w:rPr>
  </w:style>
  <w:style w:type="character" w:styleId="39">
    <w:name w:val="footnote reference"/>
    <w:semiHidden/>
    <w:qFormat/>
    <w:uiPriority w:val="0"/>
    <w:rPr>
      <w:vertAlign w:val="superscript"/>
    </w:rPr>
  </w:style>
  <w:style w:type="character" w:customStyle="1" w:styleId="40">
    <w:name w:val="页脚 Char"/>
    <w:link w:val="15"/>
    <w:qFormat/>
    <w:locked/>
    <w:uiPriority w:val="99"/>
    <w:rPr>
      <w:kern w:val="2"/>
      <w:sz w:val="18"/>
      <w:szCs w:val="18"/>
    </w:rPr>
  </w:style>
  <w:style w:type="character" w:customStyle="1" w:styleId="41">
    <w:name w:val="页眉 Char"/>
    <w:link w:val="16"/>
    <w:qFormat/>
    <w:locked/>
    <w:uiPriority w:val="99"/>
    <w:rPr>
      <w:kern w:val="2"/>
      <w:sz w:val="18"/>
      <w:szCs w:val="18"/>
    </w:rPr>
  </w:style>
  <w:style w:type="character" w:customStyle="1" w:styleId="42">
    <w:name w:val="目录 1 Char"/>
    <w:link w:val="17"/>
    <w:qFormat/>
    <w:uiPriority w:val="0"/>
    <w:rPr>
      <w:rFonts w:ascii="宋体" w:eastAsia="宋体"/>
      <w:kern w:val="2"/>
      <w:sz w:val="21"/>
      <w:szCs w:val="21"/>
      <w:lang w:val="en-US" w:eastAsia="zh-CN" w:bidi="ar-SA"/>
    </w:rPr>
  </w:style>
  <w:style w:type="character" w:customStyle="1" w:styleId="43">
    <w:name w:val="段 Char"/>
    <w:link w:val="21"/>
    <w:qFormat/>
    <w:uiPriority w:val="0"/>
    <w:rPr>
      <w:rFonts w:ascii="宋体"/>
      <w:sz w:val="21"/>
      <w:lang w:val="en-US" w:eastAsia="zh-CN" w:bidi="ar-SA"/>
    </w:rPr>
  </w:style>
  <w:style w:type="paragraph" w:customStyle="1" w:styleId="44">
    <w:name w:val="一级条标题"/>
    <w:next w:val="2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1"/>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1"/>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1"/>
    <w:qFormat/>
    <w:uiPriority w:val="0"/>
    <w:pPr>
      <w:numPr>
        <w:ilvl w:val="4"/>
      </w:numPr>
      <w:outlineLvl w:val="5"/>
    </w:pPr>
  </w:style>
  <w:style w:type="paragraph" w:customStyle="1" w:styleId="58">
    <w:name w:val="五级条标题"/>
    <w:basedOn w:val="57"/>
    <w:next w:val="21"/>
    <w:qFormat/>
    <w:uiPriority w:val="0"/>
    <w:pPr>
      <w:numPr>
        <w:ilvl w:val="5"/>
      </w:numPr>
      <w:outlineLvl w:val="6"/>
    </w:pPr>
  </w:style>
  <w:style w:type="paragraph" w:customStyle="1" w:styleId="59">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1"/>
    <w:qFormat/>
    <w:uiPriority w:val="0"/>
  </w:style>
  <w:style w:type="paragraph" w:customStyle="1" w:styleId="6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1"/>
    <w:next w:val="21"/>
    <w:qFormat/>
    <w:uiPriority w:val="0"/>
    <w:pPr>
      <w:ind w:firstLine="0" w:firstLineChars="0"/>
      <w:jc w:val="center"/>
    </w:pPr>
    <w:rPr>
      <w:rFonts w:ascii="黑体" w:eastAsia="黑体"/>
    </w:rPr>
  </w:style>
  <w:style w:type="paragraph" w:customStyle="1" w:styleId="88">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9">
    <w:name w:val="附录表标题"/>
    <w:basedOn w:val="1"/>
    <w:next w:val="21"/>
    <w:qFormat/>
    <w:uiPriority w:val="0"/>
    <w:pPr>
      <w:numPr>
        <w:ilvl w:val="1"/>
        <w:numId w:val="11"/>
      </w:numPr>
      <w:spacing w:beforeLines="50" w:afterLines="50"/>
      <w:jc w:val="center"/>
    </w:pPr>
    <w:rPr>
      <w:rFonts w:ascii="黑体" w:eastAsia="黑体"/>
      <w:szCs w:val="21"/>
    </w:rPr>
  </w:style>
  <w:style w:type="paragraph" w:customStyle="1" w:styleId="90">
    <w:name w:val="附录二级条标题"/>
    <w:basedOn w:val="1"/>
    <w:next w:val="2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1"/>
    <w:next w:val="21"/>
    <w:link w:val="93"/>
    <w:qFormat/>
    <w:uiPriority w:val="0"/>
  </w:style>
  <w:style w:type="character" w:customStyle="1" w:styleId="93">
    <w:name w:val="附录公式 Char"/>
    <w:basedOn w:val="43"/>
    <w:link w:val="92"/>
    <w:qFormat/>
    <w:uiPriority w:val="0"/>
  </w:style>
  <w:style w:type="paragraph" w:customStyle="1" w:styleId="94">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1"/>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1"/>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1"/>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1"/>
    <w:link w:val="10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character" w:customStyle="1" w:styleId="105">
    <w:name w:val="附录章标题 Char"/>
    <w:link w:val="104"/>
    <w:qFormat/>
    <w:uiPriority w:val="0"/>
    <w:rPr>
      <w:rFonts w:ascii="黑体" w:eastAsia="黑体"/>
      <w:kern w:val="21"/>
      <w:sz w:val="21"/>
      <w:lang w:val="en-US" w:eastAsia="zh-CN" w:bidi="ar-SA"/>
    </w:rPr>
  </w:style>
  <w:style w:type="paragraph" w:customStyle="1" w:styleId="106">
    <w:name w:val="附录一级条标题"/>
    <w:basedOn w:val="104"/>
    <w:next w:val="21"/>
    <w:qFormat/>
    <w:uiPriority w:val="0"/>
    <w:pPr>
      <w:numPr>
        <w:ilvl w:val="2"/>
      </w:numPr>
      <w:autoSpaceDN w:val="0"/>
      <w:spacing w:beforeLines="50" w:afterLines="50"/>
      <w:outlineLvl w:val="2"/>
    </w:pPr>
  </w:style>
  <w:style w:type="paragraph" w:customStyle="1" w:styleId="107">
    <w:name w:val="附录一级无"/>
    <w:basedOn w:val="106"/>
    <w:qFormat/>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8"/>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6"/>
    <w:qFormat/>
    <w:uiPriority w:val="0"/>
    <w:pPr>
      <w:framePr w:wrap="around" w:y="15310"/>
      <w:spacing w:line="0" w:lineRule="atLeast"/>
    </w:pPr>
    <w:rPr>
      <w:rFonts w:ascii="黑体" w:eastAsia="黑体"/>
      <w:b w:val="0"/>
    </w:rPr>
  </w:style>
  <w:style w:type="paragraph" w:customStyle="1" w:styleId="115">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3"/>
    <w:qFormat/>
    <w:uiPriority w:val="0"/>
    <w:pPr>
      <w:spacing w:beforeLines="0" w:afterLines="0"/>
    </w:pPr>
    <w:rPr>
      <w:rFonts w:ascii="宋体" w:eastAsia="宋体"/>
    </w:rPr>
  </w:style>
  <w:style w:type="paragraph" w:customStyle="1" w:styleId="117">
    <w:name w:val="实施日期"/>
    <w:basedOn w:val="77"/>
    <w:qFormat/>
    <w:uiPriority w:val="0"/>
    <w:pPr>
      <w:framePr w:wrap="around" w:vAnchor="page" w:hAnchor="text"/>
      <w:jc w:val="right"/>
    </w:pPr>
  </w:style>
  <w:style w:type="paragraph" w:customStyle="1" w:styleId="118">
    <w:name w:val="示例后文字"/>
    <w:basedOn w:val="21"/>
    <w:next w:val="21"/>
    <w:qFormat/>
    <w:uiPriority w:val="0"/>
    <w:pPr>
      <w:ind w:firstLine="360"/>
    </w:pPr>
    <w:rPr>
      <w:sz w:val="18"/>
    </w:rPr>
  </w:style>
  <w:style w:type="paragraph" w:customStyle="1" w:styleId="119">
    <w:name w:val="首示例"/>
    <w:next w:val="21"/>
    <w:link w:val="120"/>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lang w:val="en-US" w:eastAsia="zh-CN" w:bidi="ar-SA"/>
    </w:rPr>
  </w:style>
  <w:style w:type="paragraph" w:customStyle="1" w:styleId="121">
    <w:name w:val="四级无"/>
    <w:basedOn w:val="57"/>
    <w:qFormat/>
    <w:uiPriority w:val="0"/>
    <w:pPr>
      <w:spacing w:beforeLines="0" w:afterLines="0"/>
    </w:pPr>
    <w:rPr>
      <w:rFonts w:ascii="宋体" w:eastAsia="宋体"/>
    </w:rPr>
  </w:style>
  <w:style w:type="paragraph" w:customStyle="1" w:styleId="122">
    <w:name w:val="条文脚注"/>
    <w:basedOn w:val="22"/>
    <w:qFormat/>
    <w:uiPriority w:val="0"/>
    <w:pPr>
      <w:numPr>
        <w:numId w:val="0"/>
      </w:numPr>
      <w:tabs>
        <w:tab w:val="clear" w:pos="0"/>
      </w:tabs>
      <w:jc w:val="both"/>
    </w:pPr>
  </w:style>
  <w:style w:type="paragraph" w:customStyle="1" w:styleId="123">
    <w:name w:val="图标脚注说明"/>
    <w:basedOn w:val="21"/>
    <w:qFormat/>
    <w:uiPriority w:val="0"/>
    <w:pPr>
      <w:ind w:left="840" w:hanging="420" w:firstLineChars="0"/>
    </w:pPr>
    <w:rPr>
      <w:sz w:val="18"/>
      <w:szCs w:val="18"/>
    </w:rPr>
  </w:style>
  <w:style w:type="paragraph" w:customStyle="1" w:styleId="124">
    <w:name w:val="图表脚注说明"/>
    <w:basedOn w:val="1"/>
    <w:qFormat/>
    <w:uiPriority w:val="0"/>
    <w:pPr>
      <w:numPr>
        <w:ilvl w:val="0"/>
        <w:numId w:val="15"/>
      </w:numPr>
    </w:pPr>
    <w:rPr>
      <w:rFonts w:ascii="宋体"/>
      <w:sz w:val="18"/>
      <w:szCs w:val="18"/>
    </w:rPr>
  </w:style>
  <w:style w:type="paragraph" w:customStyle="1" w:styleId="125">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8"/>
    <w:qFormat/>
    <w:uiPriority w:val="0"/>
    <w:pPr>
      <w:spacing w:beforeLines="0" w:afterLines="0"/>
    </w:pPr>
    <w:rPr>
      <w:rFonts w:ascii="宋体" w:eastAsia="宋体"/>
    </w:rPr>
  </w:style>
  <w:style w:type="paragraph" w:customStyle="1" w:styleId="128">
    <w:name w:val="一级无"/>
    <w:basedOn w:val="44"/>
    <w:qFormat/>
    <w:uiPriority w:val="0"/>
    <w:pPr>
      <w:spacing w:beforeLines="0" w:afterLines="0"/>
    </w:pPr>
    <w:rPr>
      <w:rFonts w:ascii="宋体" w:eastAsia="宋体"/>
    </w:rPr>
  </w:style>
  <w:style w:type="paragraph" w:customStyle="1" w:styleId="129">
    <w:name w:val="正文表标题"/>
    <w:next w:val="21"/>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1"/>
    <w:next w:val="21"/>
    <w:qFormat/>
    <w:uiPriority w:val="0"/>
    <w:pPr>
      <w:ind w:firstLine="0" w:firstLineChars="0"/>
    </w:pPr>
  </w:style>
  <w:style w:type="paragraph" w:customStyle="1" w:styleId="131">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7"/>
    <w:qFormat/>
    <w:uiPriority w:val="0"/>
    <w:pPr>
      <w:framePr w:wrap="around" w:vAnchor="page" w:hAnchor="text" w:x="1419"/>
    </w:pPr>
  </w:style>
  <w:style w:type="paragraph" w:customStyle="1" w:styleId="134">
    <w:name w:val="其他实施日期"/>
    <w:basedOn w:val="117"/>
    <w:qFormat/>
    <w:uiPriority w:val="0"/>
    <w:pPr>
      <w:framePr w:wrap="around"/>
    </w:pPr>
  </w:style>
  <w:style w:type="paragraph" w:customStyle="1" w:styleId="135">
    <w:name w:val="封面标准名称2"/>
    <w:basedOn w:val="80"/>
    <w:qFormat/>
    <w:uiPriority w:val="0"/>
    <w:pPr>
      <w:framePr w:wrap="around" w:y="4469"/>
      <w:spacing w:beforeLines="630"/>
    </w:pPr>
  </w:style>
  <w:style w:type="paragraph" w:customStyle="1" w:styleId="136">
    <w:name w:val="封面标准英文名称2"/>
    <w:basedOn w:val="81"/>
    <w:qFormat/>
    <w:uiPriority w:val="0"/>
    <w:pPr>
      <w:framePr w:wrap="around" w:y="4469"/>
    </w:pPr>
  </w:style>
  <w:style w:type="paragraph" w:customStyle="1" w:styleId="137">
    <w:name w:val="封面一致性程度标识2"/>
    <w:basedOn w:val="82"/>
    <w:qFormat/>
    <w:uiPriority w:val="0"/>
    <w:pPr>
      <w:framePr w:wrap="around" w:y="4469"/>
    </w:pPr>
  </w:style>
  <w:style w:type="paragraph" w:customStyle="1" w:styleId="138">
    <w:name w:val="封面标准文稿类别2"/>
    <w:basedOn w:val="83"/>
    <w:qFormat/>
    <w:uiPriority w:val="0"/>
    <w:pPr>
      <w:framePr w:wrap="around" w:y="4469"/>
    </w:pPr>
  </w:style>
  <w:style w:type="paragraph" w:customStyle="1" w:styleId="139">
    <w:name w:val="封面标准文稿编辑信息2"/>
    <w:basedOn w:val="84"/>
    <w:qFormat/>
    <w:uiPriority w:val="0"/>
    <w:pPr>
      <w:framePr w:wrap="around" w:y="4469"/>
    </w:pPr>
  </w:style>
  <w:style w:type="paragraph" w:customStyle="1" w:styleId="140">
    <w:name w:val="tgt2"/>
    <w:basedOn w:val="1"/>
    <w:qFormat/>
    <w:uiPriority w:val="0"/>
    <w:pPr>
      <w:widowControl/>
      <w:spacing w:after="120" w:line="360" w:lineRule="auto"/>
      <w:jc w:val="left"/>
    </w:pPr>
    <w:rPr>
      <w:rFonts w:ascii="宋体" w:hAnsi="宋体" w:cs="宋体"/>
      <w:b/>
      <w:bCs/>
      <w:kern w:val="0"/>
      <w:sz w:val="36"/>
      <w:szCs w:val="36"/>
    </w:rPr>
  </w:style>
  <w:style w:type="paragraph" w:customStyle="1" w:styleId="141">
    <w:name w:val="样式1"/>
    <w:basedOn w:val="89"/>
    <w:next w:val="89"/>
    <w:qFormat/>
    <w:uiPriority w:val="0"/>
    <w:pPr>
      <w:numPr>
        <w:ilvl w:val="0"/>
        <w:numId w:val="18"/>
      </w:numPr>
      <w:spacing w:before="156" w:after="156"/>
    </w:pPr>
  </w:style>
  <w:style w:type="character" w:customStyle="1" w:styleId="142">
    <w:name w:val="med reg"/>
    <w:basedOn w:val="32"/>
    <w:qFormat/>
    <w:uiPriority w:val="0"/>
  </w:style>
  <w:style w:type="paragraph" w:styleId="143">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633</Words>
  <Characters>3614</Characters>
  <Lines>30</Lines>
  <Paragraphs>8</Paragraphs>
  <TotalTime>1</TotalTime>
  <ScaleCrop>false</ScaleCrop>
  <LinksUpToDate>false</LinksUpToDate>
  <CharactersWithSpaces>4239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2021-08-25T03:31:00Z</dcterms:created>
  <dc:creator>CNIS</dc:creator>
  <cp:lastModifiedBy>WPS_743628636</cp:lastModifiedBy>
  <cp:lastPrinted>2021-11-23T06:14:00Z</cp:lastPrinted>
  <dcterms:modified xsi:type="dcterms:W3CDTF">2022-01-13T08:23:11Z</dcterms:modified>
  <dc:title>标准名称</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275483B5E4BD4C69A6C5391CAF006AEE</vt:lpwstr>
  </property>
</Properties>
</file>