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Times New Roman" w:eastAsia="方正小标宋简体" w:cs="宋体"/>
          <w:color w:val="000000" w:themeColor="text1"/>
          <w:kern w:val="0"/>
          <w:sz w:val="44"/>
          <w:szCs w:val="44"/>
          <w14:textFill>
            <w14:solidFill>
              <w14:schemeClr w14:val="tx1"/>
            </w14:solidFill>
          </w14:textFill>
        </w:rPr>
        <w:t>乐山市促</w:t>
      </w:r>
      <w:bookmarkStart w:id="0" w:name="_GoBack"/>
      <w:bookmarkEnd w:id="0"/>
      <w:r>
        <w:rPr>
          <w:rFonts w:hint="eastAsia" w:ascii="方正小标宋简体" w:hAnsi="Times New Roman" w:eastAsia="方正小标宋简体" w:cs="宋体"/>
          <w:color w:val="000000" w:themeColor="text1"/>
          <w:kern w:val="0"/>
          <w:sz w:val="44"/>
          <w:szCs w:val="44"/>
          <w14:textFill>
            <w14:solidFill>
              <w14:schemeClr w14:val="tx1"/>
            </w14:solidFill>
          </w14:textFill>
        </w:rPr>
        <w:t>进科技创新十条政策</w:t>
      </w:r>
      <w:r>
        <w:rPr>
          <w:rFonts w:hint="eastAsia" w:ascii="方正小标宋简体" w:hAnsi="Times New Roman" w:eastAsia="方正小标宋简体" w:cs="宋体"/>
          <w:color w:val="000000" w:themeColor="text1"/>
          <w:kern w:val="0"/>
          <w:sz w:val="44"/>
          <w:szCs w:val="44"/>
          <w:lang w:eastAsia="zh-CN"/>
          <w14:textFill>
            <w14:solidFill>
              <w14:schemeClr w14:val="tx1"/>
            </w14:solidFill>
          </w14:textFill>
        </w:rPr>
        <w:t>知识产权类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宋体"/>
          <w:color w:val="000000" w:themeColor="text1"/>
          <w:kern w:val="0"/>
          <w:sz w:val="44"/>
          <w:szCs w:val="44"/>
          <w14:textFill>
            <w14:solidFill>
              <w14:schemeClr w14:val="tx1"/>
            </w14:solidFill>
          </w14:textFill>
        </w:rPr>
      </w:pPr>
      <w:r>
        <w:rPr>
          <w:rFonts w:hint="eastAsia" w:ascii="方正小标宋简体" w:hAnsi="Times New Roman" w:eastAsia="方正小标宋简体" w:cs="宋体"/>
          <w:color w:val="000000" w:themeColor="text1"/>
          <w:kern w:val="0"/>
          <w:sz w:val="44"/>
          <w:szCs w:val="44"/>
          <w:lang w:eastAsia="zh-CN"/>
          <w14:textFill>
            <w14:solidFill>
              <w14:schemeClr w14:val="tx1"/>
            </w14:solidFill>
          </w14:textFill>
        </w:rPr>
        <w:t>后补助奖励</w:t>
      </w:r>
      <w:r>
        <w:rPr>
          <w:rFonts w:hint="eastAsia" w:ascii="方正小标宋简体" w:hAnsi="Times New Roman" w:eastAsia="方正小标宋简体" w:cs="宋体"/>
          <w:color w:val="000000" w:themeColor="text1"/>
          <w:kern w:val="0"/>
          <w:sz w:val="44"/>
          <w:szCs w:val="44"/>
          <w14:textFill>
            <w14:solidFill>
              <w14:schemeClr w14:val="tx1"/>
            </w14:solidFill>
          </w14:textFill>
        </w:rPr>
        <w:t>实施细则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为</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深入实施知识产权强国</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强省</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建设纲要</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，践行“创新是引领发展的第一动力，保护知识产权就是保护创新”的理念，</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落实《关于进一步</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促进</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科技创新</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十条政策</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的通知》（</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乐</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府</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办规</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b w:val="0"/>
          <w:bCs/>
          <w:color w:val="000000" w:themeColor="text1"/>
          <w:kern w:val="2"/>
          <w:sz w:val="32"/>
          <w:szCs w:val="32"/>
          <w:u w:val="none"/>
          <w:lang w:val="en-US" w:eastAsia="zh-CN" w:bidi="ar-SA"/>
          <w14:textFill>
            <w14:solidFill>
              <w14:schemeClr w14:val="tx1"/>
            </w14:solidFill>
          </w14:textFill>
        </w:rPr>
        <w:t>2022〕1</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号）</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，加大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知识产权试点示范、创造运用、维权保护</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激励支持</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，加快知识产权强市建设，</w:t>
      </w:r>
      <w:r>
        <w:rPr>
          <w:rFonts w:hint="eastAsia" w:ascii="仿宋_GB2312" w:hAnsi="仿宋_GB2312" w:eastAsia="仿宋_GB2312" w:cs="仿宋_GB2312"/>
          <w:color w:val="000000" w:themeColor="text1"/>
          <w:sz w:val="32"/>
          <w:szCs w:val="32"/>
          <w14:textFill>
            <w14:solidFill>
              <w14:schemeClr w14:val="tx1"/>
            </w14:solidFill>
          </w14:textFill>
        </w:rPr>
        <w:t>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本细则所指的知识产权类后补助奖励是</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《关于进一步</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促进</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科技创新</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十条政策</w:t>
      </w:r>
      <w:r>
        <w:rPr>
          <w:rFonts w:hint="default"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的通知》</w:t>
      </w:r>
      <w:r>
        <w:rPr>
          <w:rFonts w:hint="eastAsia" w:ascii="仿宋_GB2312" w:hAnsi="仿宋_GB2312" w:eastAsia="仿宋_GB2312" w:cs="仿宋_GB2312"/>
          <w:b w:val="0"/>
          <w:bCs/>
          <w:color w:val="000000" w:themeColor="text1"/>
          <w:kern w:val="2"/>
          <w:sz w:val="32"/>
          <w:szCs w:val="32"/>
          <w:u w:val="none"/>
          <w:lang w:val="en-US" w:eastAsia="zh-CN" w:bidi="ar-SA"/>
          <w14:textFill>
            <w14:solidFill>
              <w14:schemeClr w14:val="tx1"/>
            </w14:solidFill>
          </w14:textFill>
        </w:rPr>
        <w:t>中“强化科技型企业培育扶持”、“加强科技园区建设”、“提升打造科技创新平台”、“加强知识产权保护运用”所涉及的知识产权类奖励事项，含</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国家科学技术进步奖、四川省科学技术进步奖配套奖励。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乐山市市场监督管理局（以下简称“市市场监管局”）、是知识产权类后补助奖励的统筹管理部门，会同乐山市科学技术局（以下简称“市科技局”）、乐山市财政局（以下简称“市财政局”）共同研究确定知识产权类后补助奖励兑现过程中有关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人民政府是政策落地落实的责任主体，县（市、区）市场监管局、科技管理部门、财政局是知识产权类后补助奖励的属地管理部门。县（市、区）市场监管局会同科技管理部门，组织开展知识产权类后补助奖励的申请受理以及对申报资料的审查和推荐，参与后补助奖励兑现全过程管理。县（市、区）财政局负责辖区内知识产权类后补助奖励资金预算、拨付和兑现，对辖区内知识产权类资金使用情况进行监督、检查和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三、奖励事项、标准及申请材料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（一）奖励事项。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优势、</w:t>
      </w:r>
      <w:r>
        <w:rPr>
          <w:rFonts w:hint="eastAsia" w:ascii="仿宋_GB2312" w:hAnsi="仿宋_GB2312" w:eastAsia="仿宋_GB2312" w:cs="仿宋_GB2312"/>
          <w:color w:val="000000" w:themeColor="text1"/>
          <w:sz w:val="32"/>
          <w:szCs w:val="32"/>
          <w14:textFill>
            <w14:solidFill>
              <w14:schemeClr w14:val="tx1"/>
            </w14:solidFill>
          </w14:textFill>
        </w:rPr>
        <w:t>示范企业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w:t>
      </w:r>
      <w:r>
        <w:rPr>
          <w:rFonts w:hint="eastAsia" w:ascii="仿宋_GB2312" w:hAnsi="仿宋_GB2312" w:eastAsia="仿宋_GB2312" w:cs="仿宋_GB2312"/>
          <w:color w:val="000000" w:themeColor="text1"/>
          <w:sz w:val="32"/>
          <w:szCs w:val="32"/>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新获批的</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知识产权优势企业、知识产权示范企业奖励20万元；新获批的</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w:t>
      </w:r>
      <w:r>
        <w:rPr>
          <w:rFonts w:hint="eastAsia" w:ascii="仿宋_GB2312" w:hAnsi="仿宋_GB2312" w:eastAsia="仿宋_GB2312" w:cs="仿宋_GB2312"/>
          <w:color w:val="000000" w:themeColor="text1"/>
          <w:sz w:val="32"/>
          <w:szCs w:val="32"/>
          <w14:textFill>
            <w14:solidFill>
              <w14:schemeClr w14:val="tx1"/>
            </w14:solidFill>
          </w14:textFill>
        </w:rPr>
        <w:t>奖励10万元。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当年新获批</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优势、</w:t>
      </w:r>
      <w:r>
        <w:rPr>
          <w:rFonts w:hint="eastAsia" w:ascii="仿宋_GB2312" w:hAnsi="仿宋_GB2312" w:eastAsia="仿宋_GB2312" w:cs="仿宋_GB2312"/>
          <w:color w:val="000000" w:themeColor="text1"/>
          <w:sz w:val="32"/>
          <w:szCs w:val="32"/>
          <w14:textFill>
            <w14:solidFill>
              <w14:schemeClr w14:val="tx1"/>
            </w14:solidFill>
          </w14:textFill>
        </w:rPr>
        <w:t>示范企业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w:t>
      </w:r>
      <w:r>
        <w:rPr>
          <w:rFonts w:hint="eastAsia" w:ascii="仿宋_GB2312" w:hAnsi="仿宋_GB2312" w:eastAsia="仿宋_GB2312" w:cs="仿宋_GB2312"/>
          <w:color w:val="000000" w:themeColor="text1"/>
          <w:sz w:val="32"/>
          <w:szCs w:val="32"/>
          <w14:textFill>
            <w14:solidFill>
              <w14:schemeClr w14:val="tx1"/>
            </w14:solidFill>
          </w14:textFill>
        </w:rPr>
        <w:t>文件复印件；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其他有关材料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（乐山市</w:t>
      </w:r>
      <w:r>
        <w:rPr>
          <w:rFonts w:hint="eastAsia" w:ascii="仿宋_GB2312" w:hAnsi="仿宋_GB2312" w:eastAsia="仿宋_GB2312" w:cs="仿宋_GB2312"/>
          <w:color w:val="000000" w:themeColor="text1"/>
          <w:sz w:val="32"/>
          <w:szCs w:val="32"/>
          <w14:textFill>
            <w14:solidFill>
              <w14:schemeClr w14:val="tx1"/>
            </w14:solidFill>
          </w14:textFill>
        </w:rPr>
        <w:t>促进科技创新十条政策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知识产权类后补助奖励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单位组织机构代码证，以下相同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（二）奖励事项。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国家知识产权示范、试点园区，省级知识产权强镇，国家、省级地理标志产品保护示范区奖励。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新列入国家知识产权示范、试点园区，分别给予</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万元、</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10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万元奖励。新认定省级知识产权强镇，奖励</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万元。新获得国家、省级地理标志产品保护示范区的园区分别奖励</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万元、</w:t>
      </w:r>
      <w:r>
        <w:rPr>
          <w:rFonts w:hint="eastAsia" w:ascii="Times New Roman" w:hAnsi="Times New Roman" w:eastAsia="仿宋_GB2312" w:cs="仿宋_GB2312"/>
          <w:color w:val="000000" w:themeColor="text1"/>
          <w:spacing w:val="0"/>
          <w:sz w:val="32"/>
          <w:szCs w:val="32"/>
          <w:lang w:eastAsia="zh-CN"/>
          <w14:textFill>
            <w14:solidFill>
              <w14:schemeClr w14:val="tx1"/>
            </w14:solidFill>
          </w14:textFill>
        </w:rPr>
        <w:t>10</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）当年新列入国家知识产权示范、试点园区文件复印件；当年新认定省级知识产权强镇文件复印件；当年新获得国家、省级地理标志产品保护示范区文件复印件；（</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（三）奖励事项。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省级高价值专利育成中心，市级高价值专利育成中心奖励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新获批的省级高价值专利育成中心按省级资金支持标准的</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给予配套支持。对新获批的市级高价值专利育成中心奖励</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）当年新获批省级高价值专利育成中心及省级资金支持材料复印件；当年新获批的市级高价值专利育成中心材料复印件；（</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（四）奖励事项。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国家科学技术进步奖、四川省科学技术进步奖配套奖励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对获国家科学技术进步奖、四川省科学技术进步奖的项目，按获奖金额给予主持单位1：1配套奖励。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（1）获国家科学技术进步奖、四川省科学技术进步奖及获奖金额证明材料复印件；（2）其他有关材料。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（五）奖励事项。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中国专利奖、四川专利奖配套奖励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对获中国专利奖、四川专利奖的项目，按获奖金额给予主持单位</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配套奖励。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（1）当年获中国专利奖、四川专利奖及获奖金额证明材料复印件；（2）其他有关材料。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（六）奖励事项。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“知识产权管理规范”认证奖励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新通过“知识产权管理规范”认证的高校、科研院所、市级以上知识产权试点示范和优势培育企业奖励</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（1）获批市级以上知识产权试点示范和优势培育企业文件复印件；（2）当年新获国家认监委批复成立的知识产权管理体系认证公司出具的《高等学校知识产权管理规范》（</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GB/T33251-2016）、《企业知识产权管理规范》（GB/T29490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2013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）或《企业知识产权合规管理体系要求》</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（GB/T 29490－2023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）认证证书复印件；（3）其他有关材料。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（七）奖励事项。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维权奖励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企事业单位作为原告(或请求人)主动维权，解决专利、商标侵权纠纷，给予维权代理费</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的补助，每年每户总额不超过</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（1）当年侵权纠纷处理请求书、侵权纠纷案件授权委托书、管辖地市场监管局出具的侵权纠纷处理请求受理通知书复印件；（2）维权代理合同、</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维权代理费用支出明细及费用支出凭证；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（八）奖励事项。</w:t>
      </w:r>
      <w:r>
        <w:rPr>
          <w:rFonts w:hint="eastAsia" w:ascii="仿宋_GB2312" w:hAnsi="仿宋_GB2312" w:eastAsia="仿宋_GB2312" w:cs="仿宋_GB2312"/>
          <w:color w:val="000000" w:themeColor="text1"/>
          <w:spacing w:val="0"/>
          <w:sz w:val="32"/>
          <w:szCs w:val="32"/>
          <w14:textFill>
            <w14:solidFill>
              <w14:schemeClr w14:val="tx1"/>
            </w14:solidFill>
          </w14:textFill>
        </w:rPr>
        <w:t>知识产权保护维权互助专项基金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以市场化方式建立知识产权保护维权互助专项基金的企业，按照基金总额的</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，给予不超过</w:t>
      </w:r>
      <w:r>
        <w:rPr>
          <w:rFonts w:hint="eastAsia" w:ascii="Times New Roman" w:hAnsi="Times New Roman" w:eastAsia="仿宋_GB2312" w:cs="仿宋_GB2312"/>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（1）当年建立知识产权保护维权互助专项基金合作协议复印件；（2）当年建立知识产权保护维权互助专项基金相关证明材料；（3）其他有关材料。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（九）奖励事项。</w:t>
      </w:r>
      <w:r>
        <w:rPr>
          <w:rFonts w:hint="eastAsia" w:ascii="仿宋_GB2312" w:hAnsi="仿宋_GB2312" w:eastAsia="仿宋_GB2312" w:cs="仿宋_GB2312"/>
          <w:color w:val="000000" w:themeColor="text1"/>
          <w:spacing w:val="0"/>
          <w:sz w:val="32"/>
          <w:szCs w:val="32"/>
          <w14:textFill>
            <w14:solidFill>
              <w14:schemeClr w14:val="tx1"/>
            </w14:solidFill>
          </w14:textFill>
        </w:rPr>
        <w:t>知识产权质押贷款贴息补助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开展知识产权质押贷款的企业，给予</w:t>
      </w:r>
      <w:r>
        <w:rPr>
          <w:rFonts w:hint="eastAsia" w:ascii="Times New Roman" w:hAnsi="Times New Roman" w:eastAsia="仿宋_GB2312" w:cs="仿宋_GB2312"/>
          <w:color w:val="000000" w:themeColor="text1"/>
          <w:spacing w:val="0"/>
          <w:sz w:val="32"/>
          <w:szCs w:val="32"/>
          <w14:textFill>
            <w14:solidFill>
              <w14:schemeClr w14:val="tx1"/>
            </w14:solidFill>
          </w14:textFill>
        </w:rPr>
        <w:t>50%</w:t>
      </w:r>
      <w:r>
        <w:rPr>
          <w:rFonts w:hint="eastAsia" w:ascii="仿宋_GB2312" w:hAnsi="仿宋_GB2312" w:eastAsia="仿宋_GB2312" w:cs="仿宋_GB2312"/>
          <w:color w:val="000000" w:themeColor="text1"/>
          <w:spacing w:val="0"/>
          <w:sz w:val="32"/>
          <w:szCs w:val="32"/>
          <w14:textFill>
            <w14:solidFill>
              <w14:schemeClr w14:val="tx1"/>
            </w14:solidFill>
          </w14:textFill>
        </w:rPr>
        <w:t>最高不超过</w:t>
      </w:r>
      <w:r>
        <w:rPr>
          <w:rFonts w:hint="eastAsia" w:ascii="Times New Roman" w:hAnsi="Times New Roman" w:eastAsia="仿宋_GB2312" w:cs="仿宋_GB2312"/>
          <w:color w:val="000000" w:themeColor="text1"/>
          <w:spacing w:val="0"/>
          <w:sz w:val="32"/>
          <w:szCs w:val="32"/>
          <w14:textFill>
            <w14:solidFill>
              <w14:schemeClr w14:val="tx1"/>
            </w14:solidFill>
          </w14:textFill>
        </w:rPr>
        <w:t>30</w:t>
      </w:r>
      <w:r>
        <w:rPr>
          <w:rFonts w:hint="eastAsia" w:ascii="仿宋_GB2312" w:hAnsi="仿宋_GB2312" w:eastAsia="仿宋_GB2312" w:cs="仿宋_GB2312"/>
          <w:color w:val="000000" w:themeColor="text1"/>
          <w:spacing w:val="0"/>
          <w:sz w:val="32"/>
          <w:szCs w:val="32"/>
          <w14:textFill>
            <w14:solidFill>
              <w14:schemeClr w14:val="tx1"/>
            </w14:solidFill>
          </w14:textFill>
        </w:rPr>
        <w:t>万元的贴息补助。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（1）国家知识产权局知识产权质押登记通知书及附页、质押合同；（2）当年知识产权质押贷款利息支付明细及支付凭证；（3）其他有关材料。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（十）奖励事项。</w:t>
      </w:r>
      <w:r>
        <w:rPr>
          <w:rFonts w:hint="eastAsia" w:ascii="仿宋_GB2312" w:hAnsi="仿宋_GB2312" w:eastAsia="仿宋_GB2312" w:cs="仿宋_GB2312"/>
          <w:color w:val="000000" w:themeColor="text1"/>
          <w:spacing w:val="0"/>
          <w:sz w:val="32"/>
          <w:szCs w:val="32"/>
          <w14:textFill>
            <w14:solidFill>
              <w14:schemeClr w14:val="tx1"/>
            </w14:solidFill>
          </w14:textFill>
        </w:rPr>
        <w:t>知识产权许可、转让、入股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按照省级奖补标准的</w:t>
      </w:r>
      <w:r>
        <w:rPr>
          <w:rFonts w:hint="eastAsia" w:ascii="Times New Roman" w:hAnsi="Times New Roman" w:eastAsia="仿宋_GB2312" w:cs="仿宋_GB2312"/>
          <w:color w:val="000000" w:themeColor="text1"/>
          <w:spacing w:val="0"/>
          <w:sz w:val="32"/>
          <w:szCs w:val="32"/>
          <w14:textFill>
            <w14:solidFill>
              <w14:schemeClr w14:val="tx1"/>
            </w14:solidFill>
          </w14:textFill>
        </w:rPr>
        <w:t>50%</w:t>
      </w:r>
      <w:r>
        <w:rPr>
          <w:rFonts w:hint="eastAsia" w:ascii="仿宋_GB2312" w:hAnsi="仿宋_GB2312" w:eastAsia="仿宋_GB2312" w:cs="仿宋_GB2312"/>
          <w:color w:val="000000" w:themeColor="text1"/>
          <w:spacing w:val="0"/>
          <w:sz w:val="32"/>
          <w:szCs w:val="32"/>
          <w14:textFill>
            <w14:solidFill>
              <w14:schemeClr w14:val="tx1"/>
            </w14:solidFill>
          </w14:textFill>
        </w:rPr>
        <w:t>给予配套支持。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获</w:t>
      </w:r>
      <w:r>
        <w:rPr>
          <w:rFonts w:hint="eastAsia" w:ascii="仿宋_GB2312" w:hAnsi="仿宋_GB2312" w:eastAsia="仿宋_GB2312" w:cs="仿宋_GB2312"/>
          <w:color w:val="000000" w:themeColor="text1"/>
          <w:spacing w:val="0"/>
          <w:sz w:val="32"/>
          <w:szCs w:val="32"/>
          <w14:textFill>
            <w14:solidFill>
              <w14:schemeClr w14:val="tx1"/>
            </w14:solidFill>
          </w14:textFill>
        </w:rPr>
        <w:t>省级奖补</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证明材料复印件；（2）其他有关材料。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四、兑现程序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（一）发布通知。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市市场监管局发布年度申报通知，明确申报兑现时间范围和具体兑现流程等。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（二）组织申报。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各有关单位按照申报时间，向所在县（市、区）市场监管局、市市场监管局高新区分局，提交《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乐山市</w:t>
      </w:r>
      <w:r>
        <w:rPr>
          <w:rFonts w:hint="eastAsia" w:ascii="仿宋_GB2312" w:hAnsi="仿宋_GB2312" w:eastAsia="仿宋_GB2312" w:cs="仿宋_GB2312"/>
          <w:color w:val="000000" w:themeColor="text1"/>
          <w:sz w:val="32"/>
          <w:szCs w:val="32"/>
          <w14:textFill>
            <w14:solidFill>
              <w14:schemeClr w14:val="tx1"/>
            </w14:solidFill>
          </w14:textFill>
        </w:rPr>
        <w:t>促进科技创新十条政策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知识产权类后补助奖励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》（见附件）和相关佐证材料。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（三）受理初审。</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各县（市、区）市场监管局、市市场监管局高新区分局按照属地原则受理所属区域内申报材料。会同同级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科技管理部门、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财政局对申报材料的完整性、真实性、合规性进行审核，共同出具推荐函。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（四）汇总审核。</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市市场监管局汇总区县上报材料，</w:t>
      </w:r>
      <w:r>
        <w:rPr>
          <w:rFonts w:hint="eastAsia" w:ascii="仿宋_GB2312" w:hAnsi="仿宋_GB2312" w:eastAsia="仿宋_GB2312" w:cs="仿宋_GB2312"/>
          <w:kern w:val="2"/>
          <w:sz w:val="32"/>
          <w:szCs w:val="24"/>
          <w:lang w:val="en-US" w:eastAsia="zh-CN" w:bidi="ar-SA"/>
        </w:rPr>
        <w:t>致函征求相关部门意见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局党组审定</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（五）公示及资金拨付。</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市市场监管局对拟补助名单向社会公示，公示无异议后，会同市科技局、市财政局按程序报批后拨付下达。知识产权类后补助奖励资金由市、县（市、区）科技专项资金给予预算保障：市、县分级承担比例，其中扩权县（市级0%，区县100%）；市中区（市级50%，区县50%）、其他非扩权县和乐山高新区（市级25%，区县75%）。市级承担部分当年预下达给相关县（市、区），由各县（市、区）负责按程序审核后兑现，市和县（市、区）次年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五、其他事项</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奖励资金由获奖单位自主安排，用于开展知识产权相关工作，不得用于支付各种罚款、捐款、赞助及偿还债务等支出，不得用于编制内在职人员的工资性支出和离退休费用，以及国家规定禁止列支的其他支出，严格执行《乐山市科技计划项目管理办法》（乐科发〔2019〕11号）《乐山市科学技术专项资金管理办法》（乐科发〔2017〕7号）等财务规章制度和会计核算办法，自觉接受审计、财政、监察等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（二）</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获奖单位若违规使用后补助资金，将按照相关规定责令相关单位原渠道退回资金。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（三）</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本办法由市市场监管局、市科技局、市财政局负责解释。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楷体_GB2312" w:cs="Times New Roman"/>
          <w:b/>
          <w:color w:val="000000" w:themeColor="text1"/>
          <w:kern w:val="2"/>
          <w:sz w:val="32"/>
          <w:szCs w:val="32"/>
          <w:lang w:val="en-US" w:eastAsia="zh-CN" w:bidi="ar-SA"/>
          <w14:textFill>
            <w14:solidFill>
              <w14:schemeClr w14:val="tx1"/>
            </w14:solidFill>
          </w14:textFill>
        </w:rPr>
        <w:t>（四）</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本细则自印发之日起实施，实施年限与《乐山市人民政府办公室印发关于进一步促进科技创新十条政策的通知》（乐府办规〔2022〕1号）一致。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2"/>
        <w:ind w:left="0" w:leftChars="0" w:firstLine="0" w:firstLineChars="0"/>
        <w:rPr>
          <w:rFonts w:hint="eastAsia" w:ascii="黑体" w:hAnsi="黑体" w:eastAsia="黑体" w:cs="黑体"/>
          <w:kern w:val="2"/>
          <w:sz w:val="32"/>
          <w:szCs w:val="24"/>
          <w:lang w:val="en-US" w:eastAsia="zh-CN" w:bidi="ar-SA"/>
        </w:rPr>
      </w:pPr>
    </w:p>
    <w:p>
      <w:pPr>
        <w:pStyle w:val="2"/>
        <w:ind w:left="0" w:leftChars="0" w:firstLine="0" w:firstLineChars="0"/>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附件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eastAsia" w:ascii="方正小标宋简体" w:hAnsi="Times New Roman" w:eastAsia="方正小标宋简体" w:cs="宋体"/>
          <w:color w:val="000000"/>
          <w:kern w:val="0"/>
          <w:sz w:val="36"/>
          <w:szCs w:val="36"/>
          <w:lang w:eastAsia="zh-CN"/>
        </w:rPr>
      </w:pPr>
      <w:r>
        <w:rPr>
          <w:rFonts w:hint="eastAsia" w:ascii="方正小标宋简体" w:hAnsi="Times New Roman" w:eastAsia="方正小标宋简体" w:cs="宋体"/>
          <w:color w:val="000000"/>
          <w:kern w:val="0"/>
          <w:sz w:val="36"/>
          <w:szCs w:val="36"/>
          <w:lang w:eastAsia="zh-CN"/>
        </w:rPr>
        <w:t>乐山市促进科技创新十条政策知识产权类后补助奖励申请表</w:t>
      </w:r>
    </w:p>
    <w:tbl>
      <w:tblPr>
        <w:tblStyle w:val="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668"/>
        <w:gridCol w:w="1779"/>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单位</w:t>
            </w:r>
            <w:r>
              <w:rPr>
                <w:rFonts w:hint="eastAsia" w:ascii="方正黑体_GBK" w:hAnsi="方正黑体_GBK" w:eastAsia="方正黑体_GBK" w:cs="方正黑体_GBK"/>
                <w:sz w:val="24"/>
                <w:szCs w:val="24"/>
              </w:rPr>
              <w:t>名称</w:t>
            </w:r>
          </w:p>
        </w:tc>
        <w:tc>
          <w:tcPr>
            <w:tcW w:w="2668" w:type="dxa"/>
            <w:noWrap w:val="0"/>
            <w:vAlign w:val="center"/>
          </w:tcPr>
          <w:p>
            <w:pPr>
              <w:spacing w:line="440" w:lineRule="exact"/>
              <w:jc w:val="center"/>
              <w:rPr>
                <w:rFonts w:hint="eastAsia" w:ascii="仿宋_GB2312" w:hAnsi="仿宋_GB2312" w:cs="仿宋_GB2312"/>
                <w:sz w:val="24"/>
                <w:szCs w:val="24"/>
              </w:rPr>
            </w:pPr>
          </w:p>
        </w:tc>
        <w:tc>
          <w:tcPr>
            <w:tcW w:w="1779" w:type="dxa"/>
            <w:noWrap w:val="0"/>
            <w:vAlign w:val="center"/>
          </w:tcPr>
          <w:p>
            <w:pPr>
              <w:spacing w:line="44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rPr>
              <w:t>申请奖励金额（万元）</w:t>
            </w:r>
          </w:p>
        </w:tc>
        <w:tc>
          <w:tcPr>
            <w:tcW w:w="3388" w:type="dxa"/>
            <w:noWrap w:val="0"/>
            <w:vAlign w:val="center"/>
          </w:tcPr>
          <w:p>
            <w:pPr>
              <w:spacing w:line="44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联系人</w:t>
            </w:r>
          </w:p>
        </w:tc>
        <w:tc>
          <w:tcPr>
            <w:tcW w:w="2668" w:type="dxa"/>
            <w:noWrap w:val="0"/>
            <w:vAlign w:val="center"/>
          </w:tcPr>
          <w:p>
            <w:pPr>
              <w:spacing w:line="440" w:lineRule="exact"/>
              <w:jc w:val="center"/>
              <w:rPr>
                <w:rFonts w:hint="eastAsia" w:ascii="仿宋_GB2312" w:hAnsi="仿宋_GB2312" w:cs="仿宋_GB2312"/>
                <w:sz w:val="24"/>
                <w:szCs w:val="24"/>
              </w:rPr>
            </w:pPr>
          </w:p>
        </w:tc>
        <w:tc>
          <w:tcPr>
            <w:tcW w:w="1779"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c>
          <w:tcPr>
            <w:tcW w:w="3388" w:type="dxa"/>
            <w:noWrap w:val="0"/>
            <w:vAlign w:val="center"/>
          </w:tcPr>
          <w:p>
            <w:pPr>
              <w:spacing w:line="440" w:lineRule="exact"/>
              <w:jc w:val="center"/>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331" w:type="dxa"/>
            <w:gridSpan w:val="2"/>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申请奖励事项</w:t>
            </w:r>
          </w:p>
          <w:p>
            <w:pPr>
              <w:spacing w:line="440" w:lineRule="exact"/>
              <w:jc w:val="center"/>
              <w:rPr>
                <w:rFonts w:hint="eastAsia" w:ascii="仿宋_GB2312" w:hAnsi="仿宋_GB2312" w:eastAsia="方正仿宋_GBK" w:cs="仿宋_GB2312"/>
                <w:sz w:val="24"/>
                <w:szCs w:val="24"/>
                <w:lang w:eastAsia="zh-CN"/>
              </w:rPr>
            </w:pPr>
            <w:r>
              <w:rPr>
                <w:rFonts w:hint="eastAsia" w:ascii="仿宋_GB2312" w:hAnsi="仿宋_GB2312" w:cs="仿宋_GB2312"/>
                <w:sz w:val="18"/>
                <w:szCs w:val="18"/>
                <w:lang w:eastAsia="zh-CN"/>
              </w:rPr>
              <w:t>（政策原文，</w:t>
            </w:r>
            <w:r>
              <w:rPr>
                <w:rFonts w:hint="eastAsia" w:ascii="仿宋_GB2312" w:hAnsi="仿宋_GB2312" w:eastAsia="宋体" w:cs="仿宋_GB2312"/>
                <w:sz w:val="18"/>
                <w:szCs w:val="18"/>
                <w:lang w:eastAsia="zh-CN"/>
              </w:rPr>
              <w:t>如获批国家知识产权优势企业奖励）</w:t>
            </w:r>
          </w:p>
        </w:tc>
        <w:tc>
          <w:tcPr>
            <w:tcW w:w="5167" w:type="dxa"/>
            <w:gridSpan w:val="2"/>
            <w:noWrap w:val="0"/>
            <w:vAlign w:val="center"/>
          </w:tcPr>
          <w:p>
            <w:pPr>
              <w:spacing w:line="440" w:lineRule="exact"/>
              <w:jc w:val="center"/>
              <w:rPr>
                <w:rFonts w:hint="eastAsia" w:ascii="仿宋_GB2312" w:hAnsi="仿宋_GB2312" w:eastAsia="微软雅黑"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证明材料目录（材料附后）</w:t>
            </w:r>
          </w:p>
        </w:tc>
        <w:tc>
          <w:tcPr>
            <w:tcW w:w="7835" w:type="dxa"/>
            <w:gridSpan w:val="3"/>
            <w:noWrap w:val="0"/>
            <w:vAlign w:val="center"/>
          </w:tcPr>
          <w:p>
            <w:pPr>
              <w:spacing w:line="440" w:lineRule="exact"/>
              <w:jc w:val="left"/>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1.申请单位组织机构代码证；</w:t>
            </w:r>
          </w:p>
          <w:p>
            <w:pPr>
              <w:spacing w:line="440" w:lineRule="exact"/>
              <w:jc w:val="left"/>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2.对应申请奖励事项所需申请材料；</w:t>
            </w:r>
          </w:p>
          <w:p>
            <w:pPr>
              <w:spacing w:line="440" w:lineRule="exact"/>
              <w:jc w:val="left"/>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3.其他资料</w:t>
            </w:r>
            <w:r>
              <w:rPr>
                <w:rFonts w:hint="eastAsia" w:ascii="仿宋_GB2312" w:hAnsi="仿宋_GB2312" w:eastAsia="方正仿宋_GBK" w:cs="仿宋_GB2312"/>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498" w:type="dxa"/>
            <w:gridSpan w:val="4"/>
            <w:noWrap w:val="0"/>
            <w:vAlign w:val="center"/>
          </w:tcPr>
          <w:p>
            <w:pPr>
              <w:spacing w:line="440" w:lineRule="exact"/>
              <w:jc w:val="left"/>
              <w:rPr>
                <w:rFonts w:hint="eastAsia" w:ascii="仿宋_GB2312" w:hAnsi="仿宋_GB2312" w:cs="仿宋_GB2312"/>
                <w:sz w:val="24"/>
                <w:szCs w:val="24"/>
              </w:rPr>
            </w:pPr>
            <w:r>
              <w:rPr>
                <w:rFonts w:hint="eastAsia" w:ascii="仿宋_GB2312" w:hAnsi="仿宋_GB2312" w:cs="仿宋_GB2312"/>
                <w:sz w:val="24"/>
                <w:szCs w:val="24"/>
              </w:rPr>
              <w:t>申请单位承诺：</w:t>
            </w:r>
          </w:p>
          <w:p>
            <w:pPr>
              <w:spacing w:line="440" w:lineRule="exact"/>
              <w:jc w:val="left"/>
              <w:rPr>
                <w:rFonts w:hint="eastAsia" w:ascii="仿宋_GB2312" w:hAnsi="仿宋_GB2312" w:eastAsia="宋体" w:cs="仿宋_GB2312"/>
                <w:sz w:val="24"/>
                <w:szCs w:val="24"/>
              </w:rPr>
            </w:pPr>
            <w:r>
              <w:rPr>
                <w:rFonts w:hint="eastAsia" w:ascii="仿宋_GB2312" w:hAnsi="仿宋_GB2312" w:cs="仿宋_GB2312"/>
                <w:sz w:val="24"/>
                <w:szCs w:val="24"/>
              </w:rPr>
              <w:t xml:space="preserve">    </w:t>
            </w:r>
            <w:r>
              <w:rPr>
                <w:rFonts w:hint="eastAsia" w:ascii="仿宋_GB2312" w:hAnsi="仿宋_GB2312" w:eastAsia="宋体" w:cs="仿宋_GB2312"/>
                <w:sz w:val="24"/>
                <w:szCs w:val="24"/>
              </w:rPr>
              <w:t>我单位已认真阅读《</w:t>
            </w:r>
            <w:r>
              <w:rPr>
                <w:rFonts w:hint="eastAsia" w:ascii="仿宋_GB2312" w:hAnsi="仿宋_GB2312" w:eastAsia="宋体" w:cs="仿宋_GB2312"/>
                <w:sz w:val="24"/>
                <w:szCs w:val="24"/>
                <w:lang w:eastAsia="zh-CN"/>
              </w:rPr>
              <w:t>乐山市</w:t>
            </w:r>
            <w:r>
              <w:rPr>
                <w:rFonts w:hint="default" w:ascii="仿宋_GB2312" w:hAnsi="仿宋_GB2312" w:eastAsia="宋体" w:cs="仿宋_GB2312"/>
                <w:sz w:val="24"/>
                <w:szCs w:val="24"/>
              </w:rPr>
              <w:t>人民政府</w:t>
            </w:r>
            <w:r>
              <w:rPr>
                <w:rFonts w:hint="eastAsia" w:ascii="仿宋_GB2312" w:hAnsi="仿宋_GB2312" w:eastAsia="宋体" w:cs="仿宋_GB2312"/>
                <w:sz w:val="24"/>
                <w:szCs w:val="24"/>
                <w:lang w:eastAsia="zh-CN"/>
              </w:rPr>
              <w:t>办公室</w:t>
            </w:r>
            <w:r>
              <w:rPr>
                <w:rFonts w:hint="default" w:ascii="仿宋_GB2312" w:hAnsi="仿宋_GB2312" w:eastAsia="宋体" w:cs="仿宋_GB2312"/>
                <w:sz w:val="24"/>
                <w:szCs w:val="24"/>
              </w:rPr>
              <w:t>印发关于进一步</w:t>
            </w:r>
            <w:r>
              <w:rPr>
                <w:rFonts w:hint="eastAsia" w:ascii="仿宋_GB2312" w:hAnsi="仿宋_GB2312" w:eastAsia="宋体" w:cs="仿宋_GB2312"/>
                <w:sz w:val="24"/>
                <w:szCs w:val="24"/>
                <w:lang w:eastAsia="zh-CN"/>
              </w:rPr>
              <w:t>促进</w:t>
            </w:r>
            <w:r>
              <w:rPr>
                <w:rFonts w:hint="default" w:ascii="仿宋_GB2312" w:hAnsi="仿宋_GB2312" w:eastAsia="宋体" w:cs="仿宋_GB2312"/>
                <w:sz w:val="24"/>
                <w:szCs w:val="24"/>
              </w:rPr>
              <w:t>科技创新</w:t>
            </w:r>
            <w:r>
              <w:rPr>
                <w:rFonts w:hint="eastAsia" w:ascii="仿宋_GB2312" w:hAnsi="仿宋_GB2312" w:eastAsia="宋体" w:cs="仿宋_GB2312"/>
                <w:sz w:val="24"/>
                <w:szCs w:val="24"/>
                <w:lang w:eastAsia="zh-CN"/>
              </w:rPr>
              <w:t>十条政策</w:t>
            </w:r>
            <w:r>
              <w:rPr>
                <w:rFonts w:hint="default" w:ascii="仿宋_GB2312" w:hAnsi="仿宋_GB2312" w:eastAsia="宋体" w:cs="仿宋_GB2312"/>
                <w:sz w:val="24"/>
                <w:szCs w:val="24"/>
              </w:rPr>
              <w:t>的通知</w:t>
            </w:r>
            <w:r>
              <w:rPr>
                <w:rFonts w:hint="eastAsia" w:ascii="仿宋_GB2312" w:hAnsi="仿宋_GB2312" w:eastAsia="宋体" w:cs="仿宋_GB2312"/>
                <w:sz w:val="24"/>
                <w:szCs w:val="24"/>
              </w:rPr>
              <w:t>》</w:t>
            </w:r>
            <w:r>
              <w:rPr>
                <w:rFonts w:hint="eastAsia" w:ascii="仿宋_GB2312" w:hAnsi="仿宋_GB2312" w:eastAsia="宋体" w:cs="仿宋_GB2312"/>
                <w:sz w:val="24"/>
                <w:szCs w:val="24"/>
                <w:lang w:eastAsia="zh-CN"/>
              </w:rPr>
              <w:t>和《乐山市促进科技创新十条政策知识产权类后补助奖励</w:t>
            </w:r>
            <w:r>
              <w:rPr>
                <w:rFonts w:hint="eastAsia" w:ascii="仿宋_GB2312" w:hAnsi="仿宋_GB2312" w:eastAsia="宋体" w:cs="仿宋_GB2312"/>
                <w:sz w:val="24"/>
                <w:szCs w:val="24"/>
              </w:rPr>
              <w:t>实施细则</w:t>
            </w:r>
            <w:r>
              <w:rPr>
                <w:rFonts w:hint="eastAsia" w:ascii="仿宋_GB2312" w:hAnsi="仿宋_GB2312" w:eastAsia="宋体" w:cs="仿宋_GB2312"/>
                <w:sz w:val="24"/>
                <w:szCs w:val="24"/>
                <w:lang w:eastAsia="zh-CN"/>
              </w:rPr>
              <w:t>》</w:t>
            </w:r>
            <w:r>
              <w:rPr>
                <w:rFonts w:hint="eastAsia" w:ascii="仿宋_GB2312" w:hAnsi="仿宋_GB2312" w:eastAsia="宋体" w:cs="仿宋_GB2312"/>
                <w:sz w:val="24"/>
                <w:szCs w:val="24"/>
              </w:rPr>
              <w:t>要求，并作出以下承诺：</w:t>
            </w:r>
          </w:p>
          <w:p>
            <w:pPr>
              <w:spacing w:line="440" w:lineRule="exact"/>
              <w:jc w:val="left"/>
              <w:rPr>
                <w:rFonts w:hint="eastAsia" w:ascii="仿宋_GB2312" w:hAnsi="仿宋_GB2312" w:eastAsia="宋体" w:cs="仿宋_GB2312"/>
                <w:sz w:val="24"/>
                <w:szCs w:val="24"/>
                <w:lang w:val="en-US" w:eastAsia="zh-CN"/>
              </w:rPr>
            </w:pPr>
            <w:r>
              <w:rPr>
                <w:rFonts w:hint="eastAsia" w:ascii="仿宋_GB2312" w:hAnsi="仿宋_GB2312" w:cs="仿宋_GB2312"/>
                <w:sz w:val="24"/>
                <w:szCs w:val="24"/>
              </w:rPr>
              <w:t xml:space="preserve">   </w:t>
            </w:r>
            <w:r>
              <w:rPr>
                <w:rFonts w:hint="eastAsia" w:ascii="仿宋_GB2312" w:hAnsi="仿宋_GB2312" w:eastAsia="宋体" w:cs="仿宋_GB2312"/>
                <w:sz w:val="24"/>
                <w:szCs w:val="24"/>
              </w:rPr>
              <w:t xml:space="preserve"> </w:t>
            </w:r>
            <w:r>
              <w:rPr>
                <w:rFonts w:hint="eastAsia" w:ascii="仿宋_GB2312" w:hAnsi="仿宋_GB2312" w:eastAsia="宋体" w:cs="仿宋_GB2312"/>
                <w:sz w:val="24"/>
                <w:szCs w:val="24"/>
                <w:lang w:val="en-US" w:eastAsia="zh-CN"/>
              </w:rPr>
              <w:t>一、我单位申报政策奖励均符合相应的申报条件。申报材料全部真实、合法、合规、有效。</w:t>
            </w:r>
          </w:p>
          <w:p>
            <w:pPr>
              <w:spacing w:line="440" w:lineRule="exact"/>
              <w:jc w:val="left"/>
              <w:rPr>
                <w:rFonts w:hint="eastAsia" w:ascii="仿宋_GB2312" w:hAnsi="仿宋_GB2312" w:eastAsia="宋体" w:cs="仿宋_GB2312"/>
                <w:sz w:val="24"/>
                <w:szCs w:val="24"/>
                <w:lang w:val="en-US" w:eastAsia="zh-CN"/>
              </w:rPr>
            </w:pPr>
            <w:r>
              <w:rPr>
                <w:rFonts w:hint="eastAsia" w:ascii="仿宋_GB2312" w:hAnsi="仿宋_GB2312" w:eastAsia="宋体" w:cs="仿宋_GB2312"/>
                <w:sz w:val="24"/>
                <w:szCs w:val="24"/>
                <w:lang w:val="en-US" w:eastAsia="zh-CN"/>
              </w:rPr>
              <w:t xml:space="preserve">    二、我单位所有复印件均与原件核对，完全一致。</w:t>
            </w:r>
          </w:p>
          <w:p>
            <w:pPr>
              <w:spacing w:line="440" w:lineRule="exact"/>
              <w:jc w:val="left"/>
              <w:rPr>
                <w:rFonts w:hint="eastAsia" w:ascii="仿宋_GB2312" w:hAnsi="仿宋_GB2312" w:eastAsia="宋体" w:cs="仿宋_GB2312"/>
                <w:sz w:val="24"/>
                <w:szCs w:val="24"/>
                <w:lang w:val="en-US" w:eastAsia="zh-CN"/>
              </w:rPr>
            </w:pPr>
            <w:r>
              <w:rPr>
                <w:rFonts w:hint="eastAsia" w:ascii="仿宋_GB2312" w:hAnsi="仿宋_GB2312" w:eastAsia="宋体" w:cs="仿宋_GB2312"/>
                <w:sz w:val="24"/>
                <w:szCs w:val="24"/>
                <w:lang w:val="en-US" w:eastAsia="zh-CN"/>
              </w:rPr>
              <w:t xml:space="preserve">    三、我单位上一年度及当年内未发生重大安全事故、重大质量问题、重大违法行为、严重环境污染事故。</w:t>
            </w:r>
          </w:p>
          <w:p>
            <w:pPr>
              <w:spacing w:line="440" w:lineRule="exact"/>
              <w:jc w:val="left"/>
              <w:rPr>
                <w:rFonts w:hint="eastAsia" w:ascii="仿宋_GB2312" w:hAnsi="仿宋_GB2312" w:eastAsia="宋体" w:cs="仿宋_GB2312"/>
                <w:sz w:val="24"/>
                <w:szCs w:val="24"/>
                <w:lang w:val="en-US" w:eastAsia="zh-CN"/>
              </w:rPr>
            </w:pPr>
            <w:r>
              <w:rPr>
                <w:rFonts w:hint="eastAsia" w:ascii="仿宋_GB2312" w:hAnsi="仿宋_GB2312" w:eastAsia="宋体" w:cs="仿宋_GB2312"/>
                <w:sz w:val="24"/>
                <w:szCs w:val="24"/>
                <w:lang w:val="en-US" w:eastAsia="zh-CN"/>
              </w:rPr>
              <w:t xml:space="preserve">    四、我单位接受有关部门为审核本项目而进行的必要核查。</w:t>
            </w:r>
          </w:p>
          <w:p>
            <w:pPr>
              <w:spacing w:line="440" w:lineRule="exact"/>
              <w:ind w:firstLine="480" w:firstLineChars="200"/>
              <w:jc w:val="left"/>
              <w:rPr>
                <w:rFonts w:hint="eastAsia" w:ascii="仿宋_GB2312" w:hAnsi="仿宋_GB2312" w:eastAsia="宋体" w:cs="仿宋_GB2312"/>
                <w:sz w:val="24"/>
                <w:szCs w:val="24"/>
                <w:lang w:val="en-US" w:eastAsia="zh-CN"/>
              </w:rPr>
            </w:pPr>
            <w:r>
              <w:rPr>
                <w:rFonts w:hint="eastAsia" w:ascii="仿宋_GB2312" w:hAnsi="仿宋_GB2312" w:eastAsia="宋体" w:cs="仿宋_GB2312"/>
                <w:sz w:val="24"/>
                <w:szCs w:val="24"/>
                <w:lang w:val="en-US" w:eastAsia="zh-CN"/>
              </w:rPr>
              <w:t>我单位对上述承诺承担一切法律责任。</w:t>
            </w:r>
          </w:p>
          <w:p>
            <w:pPr>
              <w:spacing w:line="440" w:lineRule="exact"/>
              <w:jc w:val="left"/>
              <w:rPr>
                <w:rFonts w:hint="eastAsia" w:ascii="仿宋_GB2312" w:hAnsi="仿宋_GB2312" w:cs="仿宋_GB2312"/>
                <w:sz w:val="24"/>
                <w:szCs w:val="24"/>
                <w:lang w:val="en-US" w:eastAsia="zh-CN"/>
              </w:rPr>
            </w:pPr>
            <w:r>
              <w:rPr>
                <w:rFonts w:hint="eastAsia" w:ascii="仿宋_GB2312" w:hAnsi="仿宋_GB2312" w:cs="仿宋_GB2312"/>
                <w:sz w:val="24"/>
                <w:szCs w:val="24"/>
              </w:rPr>
              <w:t xml:space="preserve">                               </w:t>
            </w:r>
            <w:r>
              <w:rPr>
                <w:rFonts w:hint="eastAsia" w:ascii="仿宋_GB2312" w:hAnsi="仿宋_GB2312" w:cs="仿宋_GB2312"/>
                <w:sz w:val="24"/>
                <w:szCs w:val="24"/>
                <w:lang w:val="en-US" w:eastAsia="zh-CN"/>
              </w:rPr>
              <w:t xml:space="preserve">         </w:t>
            </w:r>
          </w:p>
          <w:p>
            <w:pPr>
              <w:spacing w:line="440" w:lineRule="exact"/>
              <w:ind w:firstLine="5520" w:firstLineChars="2300"/>
              <w:jc w:val="left"/>
              <w:rPr>
                <w:rFonts w:hint="eastAsia" w:ascii="仿宋_GB2312" w:hAnsi="仿宋_GB2312" w:cs="仿宋_GB2312"/>
                <w:sz w:val="24"/>
                <w:szCs w:val="24"/>
              </w:rPr>
            </w:pP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lang w:eastAsia="zh-CN"/>
              </w:rPr>
              <w:t>单位</w:t>
            </w:r>
            <w:r>
              <w:rPr>
                <w:rFonts w:hint="eastAsia" w:ascii="仿宋_GB2312" w:hAnsi="仿宋_GB2312" w:cs="仿宋_GB2312"/>
                <w:sz w:val="24"/>
                <w:szCs w:val="24"/>
              </w:rPr>
              <w:t>法人（签字）：</w:t>
            </w:r>
          </w:p>
          <w:p/>
          <w:p>
            <w:pPr>
              <w:spacing w:line="440" w:lineRule="exact"/>
              <w:jc w:val="left"/>
              <w:rPr>
                <w:rFonts w:hint="eastAsia" w:ascii="仿宋_GB2312" w:hAnsi="仿宋_GB2312" w:cs="仿宋_GB2312"/>
                <w:sz w:val="24"/>
                <w:szCs w:val="24"/>
              </w:rPr>
            </w:pPr>
            <w:r>
              <w:rPr>
                <w:rFonts w:hint="eastAsia" w:ascii="仿宋_GB2312" w:hAnsi="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申请单位意见（盖章）</w:t>
            </w:r>
          </w:p>
        </w:tc>
        <w:tc>
          <w:tcPr>
            <w:tcW w:w="7835" w:type="dxa"/>
            <w:gridSpan w:val="3"/>
            <w:noWrap w:val="0"/>
            <w:vAlign w:val="top"/>
          </w:tcPr>
          <w:p>
            <w:pPr>
              <w:spacing w:line="440" w:lineRule="exact"/>
              <w:jc w:val="center"/>
            </w:pPr>
          </w:p>
          <w:p>
            <w:pPr>
              <w:pStyle w:val="4"/>
              <w:rPr>
                <w:rFonts w:ascii="方正小标宋简体" w:hAnsi="黑体" w:eastAsia="方正小标宋简体"/>
                <w:sz w:val="44"/>
                <w:szCs w:val="44"/>
              </w:rPr>
            </w:pPr>
          </w:p>
          <w:p>
            <w:pPr>
              <w:pStyle w:val="4"/>
              <w:tabs>
                <w:tab w:val="left" w:pos="4822"/>
              </w:tabs>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ab/>
            </w:r>
          </w:p>
          <w:p>
            <w:pPr>
              <w:pStyle w:val="4"/>
              <w:tabs>
                <w:tab w:val="left" w:pos="4822"/>
              </w:tabs>
              <w:jc w:val="center"/>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 xml:space="preserve">                   </w:t>
            </w:r>
            <w:r>
              <w:rPr>
                <w:rFonts w:hint="eastAsia" w:ascii="仿宋_GB2312" w:hAnsi="仿宋_GB2312" w:eastAsia="宋体" w:cs="仿宋_GB2312"/>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所在区县市场监管局和科技管理部门意见（盖章）</w:t>
            </w:r>
          </w:p>
        </w:tc>
        <w:tc>
          <w:tcPr>
            <w:tcW w:w="7835" w:type="dxa"/>
            <w:gridSpan w:val="3"/>
            <w:noWrap w:val="0"/>
            <w:vAlign w:val="top"/>
          </w:tcPr>
          <w:p>
            <w:pPr>
              <w:spacing w:line="440" w:lineRule="exact"/>
              <w:jc w:val="center"/>
            </w:pPr>
          </w:p>
          <w:p>
            <w:pPr>
              <w:pStyle w:val="4"/>
              <w:rPr>
                <w:rFonts w:ascii="方正小标宋简体" w:hAnsi="黑体" w:eastAsia="方正小标宋简体"/>
                <w:sz w:val="44"/>
                <w:szCs w:val="44"/>
              </w:rPr>
            </w:pPr>
          </w:p>
          <w:p>
            <w:pPr>
              <w:pStyle w:val="4"/>
              <w:jc w:val="center"/>
              <w:rPr>
                <w:rFonts w:ascii="方正小标宋简体" w:hAnsi="黑体" w:eastAsia="方正小标宋简体"/>
                <w:sz w:val="44"/>
                <w:szCs w:val="44"/>
              </w:rPr>
            </w:pPr>
            <w:r>
              <w:rPr>
                <w:rFonts w:hint="eastAsia" w:ascii="仿宋_GB2312" w:hAnsi="仿宋_GB2312" w:eastAsia="宋体" w:cs="仿宋_GB2312"/>
                <w:kern w:val="2"/>
                <w:sz w:val="24"/>
                <w:szCs w:val="24"/>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市市场监管局</w:t>
            </w:r>
            <w:r>
              <w:rPr>
                <w:rFonts w:hint="eastAsia" w:ascii="方正黑体_GBK" w:hAnsi="方正黑体_GBK" w:eastAsia="方正黑体_GBK" w:cs="方正黑体_GBK"/>
                <w:sz w:val="24"/>
                <w:szCs w:val="24"/>
              </w:rPr>
              <w:t>初审意见（盖章）</w:t>
            </w:r>
          </w:p>
        </w:tc>
        <w:tc>
          <w:tcPr>
            <w:tcW w:w="7835" w:type="dxa"/>
            <w:gridSpan w:val="3"/>
            <w:noWrap w:val="0"/>
            <w:vAlign w:val="top"/>
          </w:tcPr>
          <w:p>
            <w:pPr>
              <w:spacing w:line="440" w:lineRule="exact"/>
              <w:jc w:val="center"/>
            </w:pPr>
          </w:p>
          <w:p>
            <w:pPr>
              <w:pStyle w:val="4"/>
              <w:rPr>
                <w:rFonts w:ascii="方正小标宋简体" w:hAnsi="黑体" w:eastAsia="方正小标宋简体"/>
                <w:sz w:val="44"/>
                <w:szCs w:val="44"/>
              </w:rPr>
            </w:pPr>
          </w:p>
          <w:p>
            <w:pPr>
              <w:pStyle w:val="4"/>
              <w:jc w:val="center"/>
              <w:rPr>
                <w:rFonts w:hint="eastAsia" w:ascii="仿宋_GB2312" w:hAnsi="仿宋_GB2312" w:eastAsia="宋体" w:cs="仿宋_GB2312"/>
                <w:kern w:val="2"/>
                <w:sz w:val="24"/>
                <w:szCs w:val="24"/>
                <w:lang w:val="en-US" w:eastAsia="zh-CN" w:bidi="ar-SA"/>
              </w:rPr>
            </w:pPr>
            <w:r>
              <w:rPr>
                <w:rFonts w:hint="eastAsia" w:ascii="仿宋_GB2312" w:hAnsi="仿宋_GB2312" w:eastAsia="宋体" w:cs="仿宋_GB2312"/>
                <w:kern w:val="2"/>
                <w:sz w:val="24"/>
                <w:szCs w:val="24"/>
                <w:lang w:val="en-US" w:eastAsia="zh-CN" w:bidi="ar-SA"/>
              </w:rPr>
              <w:t xml:space="preserve">                              </w:t>
            </w:r>
          </w:p>
          <w:p>
            <w:pPr>
              <w:pStyle w:val="4"/>
              <w:jc w:val="center"/>
              <w:rPr>
                <w:rFonts w:ascii="方正小标宋简体" w:hAnsi="黑体" w:eastAsia="方正小标宋简体"/>
                <w:sz w:val="44"/>
                <w:szCs w:val="44"/>
              </w:rPr>
            </w:pPr>
            <w:r>
              <w:rPr>
                <w:rFonts w:hint="eastAsia" w:ascii="仿宋_GB2312" w:hAnsi="仿宋_GB2312" w:eastAsia="宋体" w:cs="仿宋_GB2312"/>
                <w:kern w:val="2"/>
                <w:sz w:val="24"/>
                <w:szCs w:val="24"/>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663" w:type="dxa"/>
            <w:noWrap w:val="0"/>
            <w:vAlign w:val="center"/>
          </w:tcPr>
          <w:p>
            <w:pPr>
              <w:spacing w:line="44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市科技局</w:t>
            </w:r>
            <w:r>
              <w:rPr>
                <w:rFonts w:hint="eastAsia" w:ascii="方正黑体_GBK" w:hAnsi="方正黑体_GBK" w:eastAsia="方正黑体_GBK" w:cs="方正黑体_GBK"/>
                <w:sz w:val="24"/>
                <w:szCs w:val="24"/>
              </w:rPr>
              <w:t>意见</w:t>
            </w:r>
            <w:r>
              <w:rPr>
                <w:rFonts w:hint="eastAsia" w:ascii="方正黑体_GBK" w:hAnsi="方正黑体_GBK" w:eastAsia="方正黑体_GBK" w:cs="方正黑体_GBK"/>
                <w:sz w:val="24"/>
                <w:szCs w:val="24"/>
                <w:lang w:eastAsia="zh-CN"/>
              </w:rPr>
              <w:t>（盖章）</w:t>
            </w:r>
          </w:p>
        </w:tc>
        <w:tc>
          <w:tcPr>
            <w:tcW w:w="7835" w:type="dxa"/>
            <w:gridSpan w:val="3"/>
            <w:noWrap w:val="0"/>
            <w:vAlign w:val="top"/>
          </w:tcPr>
          <w:p>
            <w:pPr>
              <w:spacing w:line="440" w:lineRule="exact"/>
              <w:jc w:val="center"/>
            </w:pPr>
          </w:p>
          <w:p>
            <w:pPr>
              <w:pStyle w:val="4"/>
              <w:rPr>
                <w:rFonts w:ascii="方正小标宋简体" w:hAnsi="黑体" w:eastAsia="方正小标宋简体"/>
                <w:sz w:val="44"/>
                <w:szCs w:val="44"/>
              </w:rPr>
            </w:pPr>
          </w:p>
          <w:p>
            <w:pPr>
              <w:pStyle w:val="4"/>
              <w:wordWrap w:val="0"/>
              <w:jc w:val="right"/>
              <w:rPr>
                <w:rFonts w:hint="eastAsia" w:ascii="仿宋_GB2312" w:hAnsi="仿宋_GB2312" w:eastAsia="宋体" w:cs="仿宋_GB2312"/>
                <w:kern w:val="2"/>
                <w:sz w:val="24"/>
                <w:szCs w:val="24"/>
                <w:lang w:val="en-US" w:eastAsia="zh-CN" w:bidi="ar-SA"/>
              </w:rPr>
            </w:pPr>
          </w:p>
          <w:p>
            <w:pPr>
              <w:pStyle w:val="4"/>
              <w:wordWrap w:val="0"/>
              <w:jc w:val="right"/>
              <w:rPr>
                <w:rFonts w:hint="eastAsia" w:ascii="仿宋_GB2312" w:hAnsi="仿宋_GB2312" w:eastAsia="宋体" w:cs="仿宋_GB2312"/>
                <w:kern w:val="2"/>
                <w:sz w:val="24"/>
                <w:szCs w:val="24"/>
                <w:lang w:val="en-US" w:eastAsia="zh-CN" w:bidi="ar-SA"/>
              </w:rPr>
            </w:pPr>
          </w:p>
          <w:p>
            <w:pPr>
              <w:pStyle w:val="4"/>
              <w:wordWrap w:val="0"/>
              <w:jc w:val="center"/>
              <w:rPr>
                <w:rFonts w:hint="default" w:ascii="方正小标宋简体" w:hAnsi="黑体" w:eastAsia="方正小标宋简体"/>
                <w:sz w:val="44"/>
                <w:szCs w:val="44"/>
                <w:lang w:val="en-US"/>
              </w:rPr>
            </w:pPr>
            <w:r>
              <w:rPr>
                <w:rFonts w:hint="eastAsia" w:ascii="仿宋_GB2312" w:hAnsi="仿宋_GB2312" w:eastAsia="宋体" w:cs="仿宋_GB2312"/>
                <w:kern w:val="2"/>
                <w:sz w:val="24"/>
                <w:szCs w:val="24"/>
                <w:lang w:val="en-US" w:eastAsia="zh-CN" w:bidi="ar-SA"/>
              </w:rPr>
              <w:t xml:space="preserve">                               年   月   日 </w:t>
            </w:r>
          </w:p>
        </w:tc>
      </w:tr>
    </w:tbl>
    <w:p>
      <w:pPr>
        <w:pStyle w:val="2"/>
        <w:ind w:left="0" w:leftChars="0" w:firstLine="0" w:firstLineChars="0"/>
        <w:rPr>
          <w:rFonts w:hint="eastAsia" w:ascii="仿宋_GB2312" w:hAnsi="仿宋_GB2312" w:eastAsia="仿宋_GB2312" w:cs="仿宋_GB2312"/>
          <w:kern w:val="2"/>
          <w:sz w:val="32"/>
          <w:szCs w:val="24"/>
          <w:lang w:val="en-US" w:eastAsia="zh-CN" w:bidi="ar-SA"/>
        </w:rPr>
      </w:pPr>
    </w:p>
    <w:sectPr>
      <w:pgSz w:w="11906" w:h="16838"/>
      <w:pgMar w:top="2041" w:right="1468" w:bottom="1587" w:left="14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zk4OTQ5OTU3YzFkNmYwM2QzZmFmZWFlZTk3NTUifQ=="/>
  </w:docVars>
  <w:rsids>
    <w:rsidRoot w:val="00000000"/>
    <w:rsid w:val="01141165"/>
    <w:rsid w:val="021B6523"/>
    <w:rsid w:val="032D4760"/>
    <w:rsid w:val="0332621A"/>
    <w:rsid w:val="03EC461B"/>
    <w:rsid w:val="0466617C"/>
    <w:rsid w:val="049C16D0"/>
    <w:rsid w:val="04B85ED2"/>
    <w:rsid w:val="05121E5F"/>
    <w:rsid w:val="05A54A82"/>
    <w:rsid w:val="06215E18"/>
    <w:rsid w:val="064E5119"/>
    <w:rsid w:val="06A64F55"/>
    <w:rsid w:val="06C23411"/>
    <w:rsid w:val="08393BA7"/>
    <w:rsid w:val="091A23C0"/>
    <w:rsid w:val="099A2423"/>
    <w:rsid w:val="0A8A3A9F"/>
    <w:rsid w:val="0AD11E75"/>
    <w:rsid w:val="0B0D6E40"/>
    <w:rsid w:val="0EA63FB9"/>
    <w:rsid w:val="0F2F360E"/>
    <w:rsid w:val="0F3155D8"/>
    <w:rsid w:val="0FA062BA"/>
    <w:rsid w:val="0FA364D6"/>
    <w:rsid w:val="0FF4755A"/>
    <w:rsid w:val="0FFD62CE"/>
    <w:rsid w:val="0FFE1D4D"/>
    <w:rsid w:val="119C0B35"/>
    <w:rsid w:val="11BE5610"/>
    <w:rsid w:val="12D469A6"/>
    <w:rsid w:val="13675A6C"/>
    <w:rsid w:val="13743CE5"/>
    <w:rsid w:val="144162BD"/>
    <w:rsid w:val="145A112D"/>
    <w:rsid w:val="14B31AC1"/>
    <w:rsid w:val="14F11A91"/>
    <w:rsid w:val="150E5968"/>
    <w:rsid w:val="15373433"/>
    <w:rsid w:val="154020D1"/>
    <w:rsid w:val="15910B7E"/>
    <w:rsid w:val="1653052A"/>
    <w:rsid w:val="16AB5961"/>
    <w:rsid w:val="17591B70"/>
    <w:rsid w:val="17F36C58"/>
    <w:rsid w:val="18243F2C"/>
    <w:rsid w:val="18D07033"/>
    <w:rsid w:val="18D248A0"/>
    <w:rsid w:val="193227AD"/>
    <w:rsid w:val="19962C07"/>
    <w:rsid w:val="19B23C43"/>
    <w:rsid w:val="1A0E50CF"/>
    <w:rsid w:val="1A7F18ED"/>
    <w:rsid w:val="1A8509E3"/>
    <w:rsid w:val="1C0C5BFA"/>
    <w:rsid w:val="1C316C17"/>
    <w:rsid w:val="1CCB0E1A"/>
    <w:rsid w:val="1D0B1216"/>
    <w:rsid w:val="1D8965DF"/>
    <w:rsid w:val="1DBE097F"/>
    <w:rsid w:val="1E0C16EA"/>
    <w:rsid w:val="1FE8583F"/>
    <w:rsid w:val="20607ACB"/>
    <w:rsid w:val="207C0227"/>
    <w:rsid w:val="20810D13"/>
    <w:rsid w:val="21240AF9"/>
    <w:rsid w:val="219856A8"/>
    <w:rsid w:val="21E11C0A"/>
    <w:rsid w:val="22066450"/>
    <w:rsid w:val="22194C96"/>
    <w:rsid w:val="22561186"/>
    <w:rsid w:val="229D5007"/>
    <w:rsid w:val="22C500B9"/>
    <w:rsid w:val="23502079"/>
    <w:rsid w:val="23733FB9"/>
    <w:rsid w:val="23A128D5"/>
    <w:rsid w:val="23A203FB"/>
    <w:rsid w:val="24632CC1"/>
    <w:rsid w:val="24EC0600"/>
    <w:rsid w:val="255F47F5"/>
    <w:rsid w:val="25733DFD"/>
    <w:rsid w:val="2584600A"/>
    <w:rsid w:val="260E7FC9"/>
    <w:rsid w:val="2650413E"/>
    <w:rsid w:val="26570C4B"/>
    <w:rsid w:val="27121FFF"/>
    <w:rsid w:val="2734580E"/>
    <w:rsid w:val="275163C0"/>
    <w:rsid w:val="27960276"/>
    <w:rsid w:val="286D2675"/>
    <w:rsid w:val="288B2A44"/>
    <w:rsid w:val="288F53F1"/>
    <w:rsid w:val="28902F18"/>
    <w:rsid w:val="28B057FA"/>
    <w:rsid w:val="28B766F6"/>
    <w:rsid w:val="295054F6"/>
    <w:rsid w:val="296E563B"/>
    <w:rsid w:val="2A41096D"/>
    <w:rsid w:val="2AAA5631"/>
    <w:rsid w:val="2AAD1B5F"/>
    <w:rsid w:val="2B166C16"/>
    <w:rsid w:val="2B512E32"/>
    <w:rsid w:val="2B942D1F"/>
    <w:rsid w:val="2C3F0EDD"/>
    <w:rsid w:val="2C7548FE"/>
    <w:rsid w:val="2C9034E6"/>
    <w:rsid w:val="2CA86A82"/>
    <w:rsid w:val="2CEA52EC"/>
    <w:rsid w:val="2D6D7CCB"/>
    <w:rsid w:val="2D9E1C33"/>
    <w:rsid w:val="2DB26E99"/>
    <w:rsid w:val="2DF53F49"/>
    <w:rsid w:val="2E150545"/>
    <w:rsid w:val="2E951288"/>
    <w:rsid w:val="2F522CD5"/>
    <w:rsid w:val="2FBB0F52"/>
    <w:rsid w:val="30444D13"/>
    <w:rsid w:val="30576DE8"/>
    <w:rsid w:val="30850E88"/>
    <w:rsid w:val="309335A5"/>
    <w:rsid w:val="30DF67EA"/>
    <w:rsid w:val="30E07611"/>
    <w:rsid w:val="30F009F7"/>
    <w:rsid w:val="32C603DB"/>
    <w:rsid w:val="32CE0B8D"/>
    <w:rsid w:val="335C6818"/>
    <w:rsid w:val="33752ADF"/>
    <w:rsid w:val="33CA5530"/>
    <w:rsid w:val="35020CF9"/>
    <w:rsid w:val="35157391"/>
    <w:rsid w:val="35645510"/>
    <w:rsid w:val="368F2A60"/>
    <w:rsid w:val="36E92171"/>
    <w:rsid w:val="37152F66"/>
    <w:rsid w:val="37E81D8A"/>
    <w:rsid w:val="389E3BAB"/>
    <w:rsid w:val="396B3311"/>
    <w:rsid w:val="3ABD7878"/>
    <w:rsid w:val="3AC2368D"/>
    <w:rsid w:val="3B1A762A"/>
    <w:rsid w:val="3B59692D"/>
    <w:rsid w:val="3C1C4D96"/>
    <w:rsid w:val="3C3D6ABB"/>
    <w:rsid w:val="3CE37662"/>
    <w:rsid w:val="3CFD6976"/>
    <w:rsid w:val="3D332398"/>
    <w:rsid w:val="3E611186"/>
    <w:rsid w:val="3FCF152A"/>
    <w:rsid w:val="404E1296"/>
    <w:rsid w:val="40AD06B3"/>
    <w:rsid w:val="40D45C40"/>
    <w:rsid w:val="40F260C6"/>
    <w:rsid w:val="4114603C"/>
    <w:rsid w:val="414F1E46"/>
    <w:rsid w:val="41FB71FC"/>
    <w:rsid w:val="42597BC0"/>
    <w:rsid w:val="426D5C02"/>
    <w:rsid w:val="42CE48B0"/>
    <w:rsid w:val="445552E9"/>
    <w:rsid w:val="44A818BD"/>
    <w:rsid w:val="44FF5255"/>
    <w:rsid w:val="46DF70EC"/>
    <w:rsid w:val="46EE37D3"/>
    <w:rsid w:val="47404916"/>
    <w:rsid w:val="47A04ACD"/>
    <w:rsid w:val="47C744A7"/>
    <w:rsid w:val="47D7285B"/>
    <w:rsid w:val="488A14A0"/>
    <w:rsid w:val="48EC789E"/>
    <w:rsid w:val="48FF3A76"/>
    <w:rsid w:val="49396F88"/>
    <w:rsid w:val="49877C0B"/>
    <w:rsid w:val="4A6F5DD2"/>
    <w:rsid w:val="4B7E5126"/>
    <w:rsid w:val="4B8E3726"/>
    <w:rsid w:val="4C673E0C"/>
    <w:rsid w:val="4CDF1BF4"/>
    <w:rsid w:val="4DA61B00"/>
    <w:rsid w:val="4DA8640B"/>
    <w:rsid w:val="4E143B1F"/>
    <w:rsid w:val="4FA709C3"/>
    <w:rsid w:val="4FBD1F95"/>
    <w:rsid w:val="4FBD3D43"/>
    <w:rsid w:val="4FD317B8"/>
    <w:rsid w:val="50447FC0"/>
    <w:rsid w:val="50CF1F80"/>
    <w:rsid w:val="50EC0D83"/>
    <w:rsid w:val="515D57DD"/>
    <w:rsid w:val="51FF6894"/>
    <w:rsid w:val="52FC2DD4"/>
    <w:rsid w:val="537C2E7E"/>
    <w:rsid w:val="541D2076"/>
    <w:rsid w:val="54B971CF"/>
    <w:rsid w:val="551864C2"/>
    <w:rsid w:val="567E247E"/>
    <w:rsid w:val="56A52119"/>
    <w:rsid w:val="56AA3DFF"/>
    <w:rsid w:val="56C9121F"/>
    <w:rsid w:val="570E6CD9"/>
    <w:rsid w:val="57F14ED1"/>
    <w:rsid w:val="584414A5"/>
    <w:rsid w:val="5898359F"/>
    <w:rsid w:val="58E660B8"/>
    <w:rsid w:val="5A6F3539"/>
    <w:rsid w:val="5A7A7400"/>
    <w:rsid w:val="5A974BA4"/>
    <w:rsid w:val="5C205D85"/>
    <w:rsid w:val="5C397A1F"/>
    <w:rsid w:val="5CC2508E"/>
    <w:rsid w:val="5DBF512A"/>
    <w:rsid w:val="5DFF3DCC"/>
    <w:rsid w:val="5EA66A16"/>
    <w:rsid w:val="5EDF5A84"/>
    <w:rsid w:val="5EF157B7"/>
    <w:rsid w:val="5F655F13"/>
    <w:rsid w:val="5FFD19D0"/>
    <w:rsid w:val="606049A2"/>
    <w:rsid w:val="616D55C9"/>
    <w:rsid w:val="61CB6793"/>
    <w:rsid w:val="623F643D"/>
    <w:rsid w:val="625921A6"/>
    <w:rsid w:val="62A0377C"/>
    <w:rsid w:val="62A0552A"/>
    <w:rsid w:val="632717A7"/>
    <w:rsid w:val="645C7B76"/>
    <w:rsid w:val="64DD0CB7"/>
    <w:rsid w:val="6525440C"/>
    <w:rsid w:val="65D15072"/>
    <w:rsid w:val="66594935"/>
    <w:rsid w:val="668B3C76"/>
    <w:rsid w:val="66A852F5"/>
    <w:rsid w:val="67B35CFF"/>
    <w:rsid w:val="67CA4DF7"/>
    <w:rsid w:val="681F15E7"/>
    <w:rsid w:val="68352BB8"/>
    <w:rsid w:val="688B27CD"/>
    <w:rsid w:val="68F71C1C"/>
    <w:rsid w:val="69531548"/>
    <w:rsid w:val="696F3EA8"/>
    <w:rsid w:val="69D0714F"/>
    <w:rsid w:val="6A883473"/>
    <w:rsid w:val="6AA622AB"/>
    <w:rsid w:val="6B9D4CFC"/>
    <w:rsid w:val="6BB41E11"/>
    <w:rsid w:val="6CEE1FA1"/>
    <w:rsid w:val="6D5B4F1A"/>
    <w:rsid w:val="6E732C64"/>
    <w:rsid w:val="6F0137F4"/>
    <w:rsid w:val="6F11762D"/>
    <w:rsid w:val="6F2A6D57"/>
    <w:rsid w:val="6FB2689C"/>
    <w:rsid w:val="6FDD600F"/>
    <w:rsid w:val="703E363A"/>
    <w:rsid w:val="70983CE4"/>
    <w:rsid w:val="71297032"/>
    <w:rsid w:val="714B51FB"/>
    <w:rsid w:val="71DB1B20"/>
    <w:rsid w:val="72850298"/>
    <w:rsid w:val="72C9287B"/>
    <w:rsid w:val="7302232E"/>
    <w:rsid w:val="73C2067A"/>
    <w:rsid w:val="74226B1B"/>
    <w:rsid w:val="746D7236"/>
    <w:rsid w:val="74BD640F"/>
    <w:rsid w:val="7557054A"/>
    <w:rsid w:val="75AF0B6A"/>
    <w:rsid w:val="762D1373"/>
    <w:rsid w:val="766A1B03"/>
    <w:rsid w:val="76CE1CFB"/>
    <w:rsid w:val="772B7660"/>
    <w:rsid w:val="774677D5"/>
    <w:rsid w:val="77E34CB2"/>
    <w:rsid w:val="77E37F3B"/>
    <w:rsid w:val="782F13D2"/>
    <w:rsid w:val="78340710"/>
    <w:rsid w:val="78E0091E"/>
    <w:rsid w:val="7956298E"/>
    <w:rsid w:val="79B0209F"/>
    <w:rsid w:val="79D25E11"/>
    <w:rsid w:val="7AC43368"/>
    <w:rsid w:val="7B164183"/>
    <w:rsid w:val="7B430CF1"/>
    <w:rsid w:val="7C18217D"/>
    <w:rsid w:val="7C3C6BAC"/>
    <w:rsid w:val="7C4D0079"/>
    <w:rsid w:val="7D012C11"/>
    <w:rsid w:val="7D470F6C"/>
    <w:rsid w:val="7ECB1729"/>
    <w:rsid w:val="7F25708B"/>
    <w:rsid w:val="7F4305FB"/>
    <w:rsid w:val="7F840255"/>
    <w:rsid w:val="7FD50AB1"/>
    <w:rsid w:val="7FE56492"/>
    <w:rsid w:val="7FE707E4"/>
    <w:rsid w:val="AEAD8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firstLine="420" w:firstLineChars="200"/>
      <w:jc w:val="both"/>
    </w:pPr>
    <w:rPr>
      <w:rFonts w:ascii="Calibri" w:hAnsi="Calibri" w:eastAsia="宋体" w:cs="仿宋_GB2312"/>
      <w:kern w:val="2"/>
      <w:sz w:val="32"/>
      <w:szCs w:val="32"/>
      <w:lang w:val="en-US" w:eastAsia="zh-CN" w:bidi="ar-SA"/>
    </w:rPr>
  </w:style>
  <w:style w:type="paragraph" w:styleId="3">
    <w:name w:val="Salutation"/>
    <w:basedOn w:val="1"/>
    <w:next w:val="1"/>
    <w:qFormat/>
    <w:uiPriority w:val="0"/>
    <w:rPr>
      <w:rFonts w:ascii="Times New Roman" w:hAnsi="Times New Roman"/>
    </w:rPr>
  </w:style>
  <w:style w:type="paragraph" w:styleId="4">
    <w:name w:val="Body Text"/>
    <w:next w:val="5"/>
    <w:qFormat/>
    <w:uiPriority w:val="0"/>
    <w:pPr>
      <w:widowControl w:val="0"/>
      <w:spacing w:before="0" w:after="140" w:line="276" w:lineRule="auto"/>
      <w:jc w:val="both"/>
    </w:pPr>
    <w:rPr>
      <w:rFonts w:ascii="Times New Roman" w:hAnsi="Times New Roman" w:eastAsia="方正仿宋_GBK" w:cs="Times New Roman"/>
      <w:kern w:val="2"/>
      <w:sz w:val="32"/>
      <w:szCs w:val="24"/>
      <w:lang w:val="en-US" w:eastAsia="zh-CN" w:bidi="ar-SA"/>
    </w:rPr>
  </w:style>
  <w:style w:type="paragraph" w:customStyle="1" w:styleId="5">
    <w:name w:val="Default"/>
    <w:qFormat/>
    <w:uiPriority w:val="0"/>
    <w:pPr>
      <w:widowControl w:val="0"/>
      <w:autoSpaceDE w:val="0"/>
      <w:autoSpaceDN w:val="0"/>
      <w:adjustRightInd w:val="0"/>
      <w:jc w:val="left"/>
    </w:pPr>
    <w:rPr>
      <w:rFonts w:hint="eastAsia" w:ascii="仿宋_GB2312" w:hAnsi="Calibri" w:eastAsia="仿宋_GB2312" w:cs="Times New Roman"/>
      <w:color w:val="000000"/>
      <w:kern w:val="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unhideWhenUsed/>
    <w:qFormat/>
    <w:uiPriority w:val="0"/>
    <w:pPr>
      <w:widowControl w:val="0"/>
      <w:spacing w:before="0" w:after="140" w:line="276" w:lineRule="auto"/>
      <w:ind w:firstLine="420" w:firstLineChars="100"/>
      <w:jc w:val="both"/>
    </w:pPr>
    <w:rPr>
      <w:rFonts w:ascii="Times New Roman" w:hAnsi="Times New Roman" w:eastAsia="方正仿宋_GBK" w:cs="Times New Roman"/>
      <w:kern w:val="2"/>
      <w:sz w:val="32"/>
      <w:szCs w:val="24"/>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3431</Words>
  <Characters>3533</Characters>
  <Lines>0</Lines>
  <Paragraphs>0</Paragraphs>
  <TotalTime>0</TotalTime>
  <ScaleCrop>false</ScaleCrop>
  <LinksUpToDate>false</LinksUpToDate>
  <CharactersWithSpaces>3835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2023-05-05T14:21:00Z</dcterms:created>
  <dc:creator>a2</dc:creator>
  <cp:lastModifiedBy>zmj</cp:lastModifiedBy>
  <cp:lastPrinted>2025-03-14T09:21:24Z</cp:lastPrinted>
  <dcterms:modified xsi:type="dcterms:W3CDTF">2025-03-14T10:02:44Z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0BB608582DB7FB6A448ED367B00337C0</vt:lpwstr>
  </property>
  <property fmtid="{D5CDD505-2E9C-101B-9397-08002B2CF9AE}" pid="4" name="KSOTemplateDocerSaveRecord">
    <vt:lpwstr>eyJoZGlkIjoiYzc2Mzk4OTQ5OTU3YzFkNmYwM2QzZmFmZWFlZTk3NTUifQ==</vt:lpwstr>
  </property>
</Properties>
</file>