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乐山市电梯维保单位质量信用管理细则（</w:t>
      </w:r>
      <w:r>
        <w:rPr>
          <w:rFonts w:hint="eastAsia" w:eastAsia="方正小标宋_GBK" w:cs="Times New Roman"/>
          <w:sz w:val="44"/>
          <w:szCs w:val="44"/>
          <w:lang w:eastAsia="zh-CN"/>
        </w:rPr>
        <w:t>征求意见稿</w:t>
      </w:r>
      <w:bookmarkStart w:id="1" w:name="_GoBack"/>
      <w:bookmarkEnd w:id="1"/>
      <w:r>
        <w:rPr>
          <w:rFonts w:hint="default" w:ascii="Times New Roman" w:hAnsi="Times New Roman" w:eastAsia="方正小标宋_GBK" w:cs="Times New Roman"/>
          <w:sz w:val="44"/>
          <w:szCs w:val="44"/>
        </w:rPr>
        <w:t>）</w:t>
      </w:r>
    </w:p>
    <w:p>
      <w:pPr>
        <w:spacing w:line="560" w:lineRule="exact"/>
        <w:jc w:val="center"/>
        <w:rPr>
          <w:rFonts w:hint="default" w:ascii="Times New Roman" w:hAnsi="Times New Roman" w:cs="Times New Roman"/>
          <w:sz w:val="32"/>
          <w:szCs w:val="32"/>
        </w:rPr>
      </w:pPr>
    </w:p>
    <w:p>
      <w:pPr>
        <w:numPr>
          <w:ilvl w:val="0"/>
          <w:numId w:val="1"/>
        </w:numPr>
        <w:spacing w:line="560" w:lineRule="exact"/>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总 则</w:t>
      </w:r>
    </w:p>
    <w:p>
      <w:pPr>
        <w:numPr>
          <w:ilvl w:val="0"/>
          <w:numId w:val="2"/>
        </w:numPr>
        <w:spacing w:line="560" w:lineRule="exact"/>
        <w:ind w:left="0" w:firstLine="640" w:firstLineChars="200"/>
        <w:rPr>
          <w:rFonts w:hint="default" w:ascii="Times New Roman" w:hAnsi="Times New Roman" w:cs="Times New Roman"/>
          <w:sz w:val="32"/>
          <w:szCs w:val="32"/>
        </w:rPr>
      </w:pPr>
      <w:r>
        <w:rPr>
          <w:rFonts w:hint="default" w:ascii="Times New Roman" w:hAnsi="Times New Roman" w:cs="Times New Roman"/>
          <w:sz w:val="32"/>
          <w:szCs w:val="32"/>
          <w:lang w:eastAsia="zh-CN"/>
        </w:rPr>
        <w:t>〔</w:t>
      </w:r>
      <w:r>
        <w:rPr>
          <w:rFonts w:hint="default" w:ascii="Times New Roman" w:hAnsi="Times New Roman" w:cs="Times New Roman"/>
          <w:sz w:val="32"/>
          <w:szCs w:val="32"/>
        </w:rPr>
        <w:t>目的依据</w:t>
      </w:r>
      <w:r>
        <w:rPr>
          <w:rFonts w:hint="default" w:ascii="Times New Roman" w:hAnsi="Times New Roman" w:cs="Times New Roman"/>
          <w:sz w:val="32"/>
          <w:szCs w:val="32"/>
          <w:lang w:eastAsia="zh-CN"/>
        </w:rPr>
        <w:t>〕</w:t>
      </w:r>
      <w:r>
        <w:rPr>
          <w:rFonts w:hint="default" w:ascii="Times New Roman" w:hAnsi="Times New Roman" w:cs="Times New Roman"/>
          <w:sz w:val="32"/>
          <w:szCs w:val="32"/>
        </w:rPr>
        <w:t>为进一步规范全市电梯维护保养行为，加强对电梯维保工作的监督管理，提升电梯维保质量，预防和减少电梯故障和事故，保障电梯安全运行，根据</w:t>
      </w:r>
      <w:bookmarkStart w:id="0" w:name="_Hlk12192767"/>
      <w:r>
        <w:rPr>
          <w:rFonts w:hint="default" w:ascii="Times New Roman" w:hAnsi="Times New Roman" w:cs="Times New Roman"/>
          <w:sz w:val="32"/>
          <w:szCs w:val="32"/>
        </w:rPr>
        <w:t>《中华人民共和国特种设备安全法》、《特种设备安全监察条例》、《四川省电梯安全监督管理办法》、《电梯维护保养规则》和《企业信用等级表示方法》等法律法规、安全技术规范及相关标准，</w:t>
      </w:r>
      <w:bookmarkEnd w:id="0"/>
      <w:r>
        <w:rPr>
          <w:rFonts w:hint="default" w:ascii="Times New Roman" w:hAnsi="Times New Roman" w:cs="Times New Roman"/>
          <w:sz w:val="32"/>
          <w:szCs w:val="32"/>
        </w:rPr>
        <w:t>制定本细则。</w:t>
      </w:r>
    </w:p>
    <w:p>
      <w:pPr>
        <w:numPr>
          <w:ilvl w:val="0"/>
          <w:numId w:val="2"/>
        </w:numPr>
        <w:spacing w:line="560" w:lineRule="exact"/>
        <w:ind w:left="0" w:firstLine="640" w:firstLineChars="200"/>
        <w:rPr>
          <w:rFonts w:hint="default" w:ascii="Times New Roman" w:hAnsi="Times New Roman" w:cs="Times New Roman"/>
          <w:sz w:val="32"/>
          <w:szCs w:val="32"/>
        </w:rPr>
      </w:pPr>
      <w:r>
        <w:rPr>
          <w:rFonts w:hint="default" w:ascii="Times New Roman" w:hAnsi="Times New Roman" w:cs="Times New Roman"/>
          <w:sz w:val="32"/>
          <w:szCs w:val="32"/>
          <w:lang w:eastAsia="zh-CN"/>
        </w:rPr>
        <w:t>〔</w:t>
      </w:r>
      <w:r>
        <w:rPr>
          <w:rFonts w:hint="default" w:ascii="Times New Roman" w:hAnsi="Times New Roman" w:cs="Times New Roman"/>
          <w:sz w:val="32"/>
          <w:szCs w:val="32"/>
        </w:rPr>
        <w:t>适用范围</w:t>
      </w:r>
      <w:r>
        <w:rPr>
          <w:rFonts w:hint="default" w:ascii="Times New Roman" w:hAnsi="Times New Roman" w:cs="Times New Roman"/>
          <w:sz w:val="32"/>
          <w:szCs w:val="32"/>
          <w:lang w:eastAsia="zh-CN"/>
        </w:rPr>
        <w:t>〕</w:t>
      </w:r>
      <w:r>
        <w:rPr>
          <w:rFonts w:hint="default" w:ascii="Times New Roman" w:hAnsi="Times New Roman" w:cs="Times New Roman"/>
          <w:sz w:val="32"/>
          <w:szCs w:val="32"/>
        </w:rPr>
        <w:t>本细则适用于乐山市市场监督管理局（以下简称“市局”）、各县（市、区）市场监督管理局（以下简称“区县局”）和乐山市特种设备监督检验所（以下简称“市特检所”）对电梯维保单位的质量信用信息采集、评价、运用等活动。</w:t>
      </w:r>
    </w:p>
    <w:p>
      <w:pPr>
        <w:numPr>
          <w:ilvl w:val="0"/>
          <w:numId w:val="2"/>
        </w:numPr>
        <w:spacing w:line="560" w:lineRule="exact"/>
        <w:ind w:left="0" w:firstLine="640" w:firstLineChars="200"/>
        <w:rPr>
          <w:rFonts w:hint="default" w:ascii="Times New Roman" w:hAnsi="Times New Roman" w:cs="Times New Roman"/>
          <w:sz w:val="32"/>
          <w:szCs w:val="32"/>
        </w:rPr>
      </w:pPr>
      <w:r>
        <w:rPr>
          <w:rFonts w:hint="default" w:ascii="Times New Roman" w:hAnsi="Times New Roman" w:cs="Times New Roman"/>
          <w:sz w:val="32"/>
          <w:szCs w:val="32"/>
          <w:lang w:eastAsia="zh-CN"/>
        </w:rPr>
        <w:t>〔</w:t>
      </w:r>
      <w:r>
        <w:rPr>
          <w:rFonts w:hint="default" w:ascii="Times New Roman" w:hAnsi="Times New Roman" w:cs="Times New Roman"/>
          <w:sz w:val="32"/>
          <w:szCs w:val="32"/>
        </w:rPr>
        <w:t>监管对象</w:t>
      </w:r>
      <w:r>
        <w:rPr>
          <w:rFonts w:hint="default" w:ascii="Times New Roman" w:hAnsi="Times New Roman" w:cs="Times New Roman"/>
          <w:sz w:val="32"/>
          <w:szCs w:val="32"/>
          <w:lang w:eastAsia="zh-CN"/>
        </w:rPr>
        <w:t>〕</w:t>
      </w:r>
      <w:r>
        <w:rPr>
          <w:rFonts w:hint="default" w:ascii="Times New Roman" w:hAnsi="Times New Roman" w:cs="Times New Roman"/>
          <w:sz w:val="32"/>
          <w:szCs w:val="32"/>
        </w:rPr>
        <w:t>电梯维保单位是指依法取得相应资质，在乐山从事《特种设备目录》范围内电梯维护保养业务的单位。</w:t>
      </w:r>
    </w:p>
    <w:p>
      <w:pPr>
        <w:numPr>
          <w:ilvl w:val="0"/>
          <w:numId w:val="2"/>
        </w:numPr>
        <w:spacing w:line="560" w:lineRule="exact"/>
        <w:ind w:left="0" w:firstLine="640" w:firstLineChars="200"/>
        <w:rPr>
          <w:rFonts w:hint="default" w:ascii="Times New Roman" w:hAnsi="Times New Roman" w:cs="Times New Roman"/>
          <w:sz w:val="32"/>
          <w:szCs w:val="32"/>
        </w:rPr>
      </w:pPr>
      <w:r>
        <w:rPr>
          <w:rFonts w:hint="default" w:ascii="Times New Roman" w:hAnsi="Times New Roman" w:cs="Times New Roman"/>
          <w:sz w:val="32"/>
          <w:szCs w:val="32"/>
          <w:lang w:eastAsia="zh-CN"/>
        </w:rPr>
        <w:t>〔</w:t>
      </w:r>
      <w:r>
        <w:rPr>
          <w:rFonts w:hint="default" w:ascii="Times New Roman" w:hAnsi="Times New Roman" w:cs="Times New Roman"/>
          <w:sz w:val="32"/>
          <w:szCs w:val="32"/>
        </w:rPr>
        <w:t>质量信用信息</w:t>
      </w:r>
      <w:r>
        <w:rPr>
          <w:rFonts w:hint="default" w:ascii="Times New Roman" w:hAnsi="Times New Roman" w:cs="Times New Roman"/>
          <w:sz w:val="32"/>
          <w:szCs w:val="32"/>
          <w:lang w:eastAsia="zh-CN"/>
        </w:rPr>
        <w:t>〕</w:t>
      </w:r>
      <w:r>
        <w:rPr>
          <w:rFonts w:hint="default" w:ascii="Times New Roman" w:hAnsi="Times New Roman" w:cs="Times New Roman"/>
          <w:sz w:val="32"/>
          <w:szCs w:val="32"/>
        </w:rPr>
        <w:t>质量信用信息是指市局、区县局和市特检所在依法履职过程中产生的行政执法、监督检查、检验等方面的信息，以及从维保单位采集的能够反映其在生产经营活动中执行法律法规和安全技术规范、质量承诺履行情况的信息，包括维保单位基础信用信息、行政处罚记录、事故调查信息、检验情况、质量保证能力信息、安全共治能力信息、投诉记录和其他不良记录等。</w:t>
      </w:r>
    </w:p>
    <w:p>
      <w:pPr>
        <w:numPr>
          <w:ilvl w:val="0"/>
          <w:numId w:val="1"/>
        </w:numPr>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质量信用信息采集</w:t>
      </w:r>
    </w:p>
    <w:p>
      <w:pPr>
        <w:numPr>
          <w:ilvl w:val="0"/>
          <w:numId w:val="2"/>
        </w:numPr>
        <w:spacing w:line="560" w:lineRule="exact"/>
        <w:ind w:left="0" w:firstLine="640" w:firstLineChars="200"/>
        <w:rPr>
          <w:rFonts w:hint="default" w:ascii="Times New Roman" w:hAnsi="Times New Roman" w:cs="Times New Roman"/>
          <w:sz w:val="32"/>
          <w:szCs w:val="32"/>
        </w:rPr>
      </w:pPr>
      <w:r>
        <w:rPr>
          <w:rFonts w:hint="default" w:ascii="Times New Roman" w:hAnsi="Times New Roman" w:cs="Times New Roman"/>
          <w:sz w:val="32"/>
          <w:szCs w:val="32"/>
          <w:lang w:eastAsia="zh-CN"/>
        </w:rPr>
        <w:t>〔</w:t>
      </w:r>
      <w:r>
        <w:rPr>
          <w:rFonts w:hint="default" w:ascii="Times New Roman" w:hAnsi="Times New Roman" w:cs="Times New Roman"/>
          <w:sz w:val="32"/>
          <w:szCs w:val="32"/>
        </w:rPr>
        <w:t>职责分工</w:t>
      </w:r>
      <w:r>
        <w:rPr>
          <w:rFonts w:hint="default" w:ascii="Times New Roman" w:hAnsi="Times New Roman" w:cs="Times New Roman"/>
          <w:sz w:val="32"/>
          <w:szCs w:val="32"/>
          <w:lang w:eastAsia="zh-CN"/>
        </w:rPr>
        <w:t>〕</w:t>
      </w:r>
      <w:r>
        <w:rPr>
          <w:rFonts w:hint="default" w:ascii="Times New Roman" w:hAnsi="Times New Roman" w:cs="Times New Roman"/>
          <w:sz w:val="32"/>
          <w:szCs w:val="32"/>
        </w:rPr>
        <w:t>市局和区县局按职能职责负责辖区内电梯维保质量信用信息采集和维护工作。市局应当采集全市维保单位基础信用信息、行政处罚记录、事故调查信息、检验情况等质量信用信息；区县局应当采集辖区内电梯维保单位基础信用信息、质量保证能力信息、安全共治能力信息、投诉记录、行政处罚记录、其他不良记录等质量信用信息。</w:t>
      </w:r>
    </w:p>
    <w:p>
      <w:pPr>
        <w:numPr>
          <w:ilvl w:val="0"/>
          <w:numId w:val="2"/>
        </w:numPr>
        <w:spacing w:line="560" w:lineRule="exact"/>
        <w:ind w:left="0" w:firstLine="640" w:firstLineChars="200"/>
        <w:rPr>
          <w:rFonts w:hint="default" w:ascii="Times New Roman" w:hAnsi="Times New Roman" w:cs="Times New Roman"/>
          <w:sz w:val="32"/>
          <w:szCs w:val="32"/>
        </w:rPr>
      </w:pPr>
      <w:r>
        <w:rPr>
          <w:rFonts w:hint="default" w:ascii="Times New Roman" w:hAnsi="Times New Roman" w:cs="Times New Roman"/>
          <w:sz w:val="32"/>
          <w:szCs w:val="32"/>
          <w:lang w:eastAsia="zh-CN"/>
        </w:rPr>
        <w:t>〔</w:t>
      </w:r>
      <w:r>
        <w:rPr>
          <w:rFonts w:hint="default" w:ascii="Times New Roman" w:hAnsi="Times New Roman" w:cs="Times New Roman"/>
          <w:sz w:val="32"/>
          <w:szCs w:val="32"/>
        </w:rPr>
        <w:t>采集程序</w:t>
      </w:r>
      <w:r>
        <w:rPr>
          <w:rFonts w:hint="default" w:ascii="Times New Roman" w:hAnsi="Times New Roman" w:cs="Times New Roman"/>
          <w:sz w:val="32"/>
          <w:szCs w:val="32"/>
          <w:lang w:eastAsia="zh-CN"/>
        </w:rPr>
        <w:t>〕</w:t>
      </w:r>
    </w:p>
    <w:p>
      <w:pPr>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（一）确定信息采集对象。市局和区县局应将本辖区内有维保业务的电梯维保单位列为信息采集对象。</w:t>
      </w:r>
    </w:p>
    <w:p>
      <w:pPr>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二）质量信用信息采集。市局和区县局应当按照维保单位基础信用信息告知要求，采集许可证、作业人员清单、维保业务清单、场地等基础信用信息。根据基础信用信息，进一步采集质量保证能力信息、安全共治能力信息、其他不良记录、投诉记录、行政处罚记录等质量信用信息。对于质量信用信息发生变化的，应及时采集变更。</w:t>
      </w:r>
    </w:p>
    <w:p>
      <w:pPr>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三）质量信用信息评价评分。市局和区县局应当按照《乐山市电梯维保单位质量信用评价评分细则》（附件1）对采集到的质量信用信息及时做出评分，对应扣分的情况，书面（附件2）通知该维保单位。收到书面通知的维保单位对扣分情况有异议的，可在收到书面通知之日起2个工作日内，向发出扣分通知单的单位提出书面申诉。扣分单位受理申诉后10个工作日内进行核查，情况复杂的可适当延长，延长时间不超过10个工作日，根据核查情况做出维持、修改或撤销扣分的决定并书面通知申诉单位，同时将该扣分情况如实记录（附件3）。</w:t>
      </w:r>
    </w:p>
    <w:p>
      <w:pPr>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（四）质量信用信息归档。区县局应当按照“一企一档”的原则建立质量信用信息档案，将收集的质量信用信息和分数评价及时归档，装入电梯维保单位质量信用档案。</w:t>
      </w:r>
    </w:p>
    <w:p>
      <w:pPr>
        <w:numPr>
          <w:ilvl w:val="0"/>
          <w:numId w:val="2"/>
        </w:numPr>
        <w:spacing w:line="560" w:lineRule="exact"/>
        <w:ind w:left="0" w:firstLine="640" w:firstLineChars="200"/>
        <w:rPr>
          <w:rFonts w:hint="default" w:ascii="Times New Roman" w:hAnsi="Times New Roman" w:cs="Times New Roman"/>
          <w:sz w:val="32"/>
          <w:szCs w:val="32"/>
        </w:rPr>
      </w:pPr>
      <w:r>
        <w:rPr>
          <w:rFonts w:hint="default" w:ascii="Times New Roman" w:hAnsi="Times New Roman" w:cs="Times New Roman"/>
          <w:sz w:val="32"/>
          <w:szCs w:val="32"/>
          <w:lang w:eastAsia="zh-CN"/>
        </w:rPr>
        <w:t>〔</w:t>
      </w:r>
      <w:r>
        <w:rPr>
          <w:rFonts w:hint="default" w:ascii="Times New Roman" w:hAnsi="Times New Roman" w:cs="Times New Roman"/>
          <w:sz w:val="32"/>
          <w:szCs w:val="32"/>
        </w:rPr>
        <w:t>数据报送</w:t>
      </w:r>
      <w:r>
        <w:rPr>
          <w:rFonts w:hint="default" w:ascii="Times New Roman" w:hAnsi="Times New Roman" w:cs="Times New Roman"/>
          <w:sz w:val="32"/>
          <w:szCs w:val="32"/>
          <w:lang w:eastAsia="zh-CN"/>
        </w:rPr>
        <w:t>〕</w:t>
      </w:r>
      <w:r>
        <w:rPr>
          <w:rFonts w:hint="default" w:ascii="Times New Roman" w:hAnsi="Times New Roman" w:cs="Times New Roman"/>
          <w:sz w:val="32"/>
          <w:szCs w:val="32"/>
        </w:rPr>
        <w:t>区县局应在每年7月10日前将1-6月维保单位质量信用扣分记录（附件3）报送市局，市局汇总后书面通知维保单位。区县局在次年1月10日前，将全年维保单位质量信用扣分记录（附件3）报送市局。市特检所应当采集电梯定期检验1次性通过率，并于次年1月10日前，将采集的数据报送市局</w:t>
      </w:r>
      <w:r>
        <w:rPr>
          <w:rFonts w:hint="default" w:ascii="Times New Roman" w:hAnsi="Times New Roman" w:cs="Times New Roman"/>
          <w:color w:val="auto"/>
          <w:sz w:val="32"/>
          <w:szCs w:val="32"/>
        </w:rPr>
        <w:t>（附件</w:t>
      </w:r>
      <w:r>
        <w:rPr>
          <w:rFonts w:hint="default" w:ascii="Times New Roman" w:hAnsi="Times New Roman" w:cs="Times New Roman"/>
          <w:color w:val="auto"/>
          <w:sz w:val="32"/>
          <w:szCs w:val="32"/>
          <w:lang w:val="en-US" w:eastAsia="zh-CN"/>
        </w:rPr>
        <w:t>4</w:t>
      </w:r>
      <w:r>
        <w:rPr>
          <w:rFonts w:hint="default" w:ascii="Times New Roman" w:hAnsi="Times New Roman" w:cs="Times New Roman"/>
          <w:color w:val="auto"/>
          <w:sz w:val="32"/>
          <w:szCs w:val="32"/>
        </w:rPr>
        <w:t>）</w:t>
      </w:r>
      <w:r>
        <w:rPr>
          <w:rFonts w:hint="default" w:ascii="Times New Roman" w:hAnsi="Times New Roman" w:cs="Times New Roman"/>
          <w:sz w:val="32"/>
          <w:szCs w:val="32"/>
        </w:rPr>
        <w:t>。</w:t>
      </w:r>
    </w:p>
    <w:p>
      <w:pPr>
        <w:numPr>
          <w:ilvl w:val="0"/>
          <w:numId w:val="1"/>
        </w:numPr>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质量信用等级划分和评定</w:t>
      </w:r>
    </w:p>
    <w:p>
      <w:pPr>
        <w:numPr>
          <w:ilvl w:val="0"/>
          <w:numId w:val="2"/>
        </w:numPr>
        <w:spacing w:line="560" w:lineRule="exact"/>
        <w:ind w:left="0" w:firstLine="640" w:firstLineChars="200"/>
        <w:rPr>
          <w:rFonts w:hint="default" w:ascii="Times New Roman" w:hAnsi="Times New Roman" w:cs="Times New Roman"/>
          <w:sz w:val="32"/>
          <w:szCs w:val="32"/>
        </w:rPr>
      </w:pPr>
      <w:r>
        <w:rPr>
          <w:rFonts w:hint="default" w:ascii="Times New Roman" w:hAnsi="Times New Roman" w:cs="Times New Roman"/>
          <w:sz w:val="32"/>
          <w:szCs w:val="32"/>
          <w:lang w:eastAsia="zh-CN"/>
        </w:rPr>
        <w:t>〔</w:t>
      </w:r>
      <w:r>
        <w:rPr>
          <w:rFonts w:hint="default" w:ascii="Times New Roman" w:hAnsi="Times New Roman" w:cs="Times New Roman"/>
          <w:sz w:val="32"/>
          <w:szCs w:val="32"/>
        </w:rPr>
        <w:t>评定周期</w:t>
      </w:r>
      <w:r>
        <w:rPr>
          <w:rFonts w:hint="default" w:ascii="Times New Roman" w:hAnsi="Times New Roman" w:cs="Times New Roman"/>
          <w:sz w:val="32"/>
          <w:szCs w:val="32"/>
          <w:lang w:eastAsia="zh-CN"/>
        </w:rPr>
        <w:t>〕</w:t>
      </w:r>
      <w:r>
        <w:rPr>
          <w:rFonts w:hint="default" w:ascii="Times New Roman" w:hAnsi="Times New Roman" w:cs="Times New Roman"/>
          <w:sz w:val="32"/>
          <w:szCs w:val="32"/>
        </w:rPr>
        <w:t>质量信用等级评定原则上按每年的1月至12月为一个周期，质量信用等级有效期为1年。</w:t>
      </w:r>
    </w:p>
    <w:p>
      <w:pPr>
        <w:numPr>
          <w:ilvl w:val="0"/>
          <w:numId w:val="2"/>
        </w:numPr>
        <w:spacing w:line="560" w:lineRule="exact"/>
        <w:ind w:left="0" w:firstLine="640" w:firstLineChars="200"/>
        <w:rPr>
          <w:rFonts w:hint="default" w:ascii="Times New Roman" w:hAnsi="Times New Roman" w:cs="Times New Roman"/>
          <w:sz w:val="32"/>
          <w:szCs w:val="32"/>
        </w:rPr>
      </w:pPr>
      <w:r>
        <w:rPr>
          <w:rFonts w:hint="default" w:ascii="Times New Roman" w:hAnsi="Times New Roman" w:cs="Times New Roman"/>
          <w:sz w:val="32"/>
          <w:szCs w:val="32"/>
          <w:lang w:eastAsia="zh-CN"/>
        </w:rPr>
        <w:t>〔</w:t>
      </w:r>
      <w:r>
        <w:rPr>
          <w:rFonts w:hint="default" w:ascii="Times New Roman" w:hAnsi="Times New Roman" w:cs="Times New Roman"/>
          <w:sz w:val="32"/>
          <w:szCs w:val="32"/>
        </w:rPr>
        <w:t>等级划分</w:t>
      </w:r>
      <w:r>
        <w:rPr>
          <w:rFonts w:hint="default" w:ascii="Times New Roman" w:hAnsi="Times New Roman" w:cs="Times New Roman"/>
          <w:sz w:val="32"/>
          <w:szCs w:val="32"/>
          <w:lang w:eastAsia="zh-CN"/>
        </w:rPr>
        <w:t>〕</w:t>
      </w:r>
      <w:r>
        <w:rPr>
          <w:rFonts w:hint="default" w:ascii="Times New Roman" w:hAnsi="Times New Roman" w:cs="Times New Roman"/>
          <w:sz w:val="32"/>
          <w:szCs w:val="32"/>
        </w:rPr>
        <w:t>市局综合评价维保单位质量信用信息，将质量信用等级从高到低分为A、B、C、D四等，按照《质量信用等级划分表》（附件</w:t>
      </w:r>
      <w:r>
        <w:rPr>
          <w:rFonts w:hint="default" w:ascii="Times New Roman" w:hAnsi="Times New Roman" w:cs="Times New Roman"/>
          <w:sz w:val="32"/>
          <w:szCs w:val="32"/>
          <w:lang w:val="en-US" w:eastAsia="zh-CN"/>
        </w:rPr>
        <w:t>5</w:t>
      </w:r>
      <w:r>
        <w:rPr>
          <w:rFonts w:hint="default" w:ascii="Times New Roman" w:hAnsi="Times New Roman" w:cs="Times New Roman"/>
          <w:sz w:val="32"/>
          <w:szCs w:val="32"/>
        </w:rPr>
        <w:t>）进行等级划分。</w:t>
      </w:r>
    </w:p>
    <w:p>
      <w:pPr>
        <w:numPr>
          <w:ilvl w:val="0"/>
          <w:numId w:val="2"/>
        </w:numPr>
        <w:spacing w:line="560" w:lineRule="exact"/>
        <w:ind w:left="0" w:firstLine="640" w:firstLineChars="200"/>
        <w:rPr>
          <w:rFonts w:hint="default" w:ascii="Times New Roman" w:hAnsi="Times New Roman" w:cs="Times New Roman"/>
          <w:sz w:val="32"/>
          <w:szCs w:val="32"/>
        </w:rPr>
      </w:pPr>
      <w:r>
        <w:rPr>
          <w:rFonts w:hint="default" w:ascii="Times New Roman" w:hAnsi="Times New Roman" w:cs="Times New Roman"/>
          <w:sz w:val="32"/>
          <w:szCs w:val="32"/>
          <w:lang w:eastAsia="zh-CN"/>
        </w:rPr>
        <w:t>〔</w:t>
      </w:r>
      <w:r>
        <w:rPr>
          <w:rFonts w:hint="default" w:ascii="Times New Roman" w:hAnsi="Times New Roman" w:cs="Times New Roman"/>
          <w:sz w:val="32"/>
          <w:szCs w:val="32"/>
        </w:rPr>
        <w:t>等级评定</w:t>
      </w:r>
      <w:r>
        <w:rPr>
          <w:rFonts w:hint="default" w:ascii="Times New Roman" w:hAnsi="Times New Roman" w:cs="Times New Roman"/>
          <w:sz w:val="32"/>
          <w:szCs w:val="32"/>
          <w:lang w:eastAsia="zh-CN"/>
        </w:rPr>
        <w:t>〕</w:t>
      </w:r>
    </w:p>
    <w:p>
      <w:pPr>
        <w:spacing w:line="56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（一）A等企业质量信用风险很小，具有维持高水平质量信用的主观意愿、服务质量保障能力，并同时满足以下必要条件：一年内未受到特种设备监管部门行政处罚；</w:t>
      </w:r>
    </w:p>
    <w:p>
      <w:pPr>
        <w:spacing w:line="56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（二）B等企业质量信用风险较小，具有维持其质量信用水平的主观意愿、服务质量保障能力，并同时满足以下必要条件：一年内受到特种设备监管部门行政处罚不超过1次；</w:t>
      </w:r>
    </w:p>
    <w:p>
      <w:pPr>
        <w:spacing w:line="56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（三）C等企业质量信用风险较大，维持其质量信用水平的主观意愿不强、服务质量不稳定、保障能力较低，并满足以下必要条件：一年内受到特种设备监管部门行政处罚不超过2次；</w:t>
      </w:r>
    </w:p>
    <w:p>
      <w:pPr>
        <w:spacing w:line="56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（四）D等企业质量信用风险很大，企业违法经营，且给社会造成不良影响。发生以下情况之一时，划分为D等：</w:t>
      </w:r>
    </w:p>
    <w:p>
      <w:pPr>
        <w:spacing w:line="56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1.一年内受到特种设备监管部门行政处罚超过2次；</w:t>
      </w:r>
    </w:p>
    <w:p>
      <w:pPr>
        <w:spacing w:line="560" w:lineRule="exact"/>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2.电梯维护保养和安装改造修理发生特种设备事故。</w:t>
      </w:r>
    </w:p>
    <w:p>
      <w:pPr>
        <w:numPr>
          <w:ilvl w:val="0"/>
          <w:numId w:val="2"/>
        </w:numPr>
        <w:spacing w:line="560" w:lineRule="exact"/>
        <w:ind w:left="0" w:firstLine="640" w:firstLineChars="200"/>
        <w:rPr>
          <w:rFonts w:hint="default" w:ascii="Times New Roman" w:hAnsi="Times New Roman" w:cs="Times New Roman"/>
          <w:color w:val="auto"/>
          <w:sz w:val="32"/>
          <w:szCs w:val="32"/>
        </w:rPr>
      </w:pP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rPr>
        <w:t>质量信用评分</w:t>
      </w:r>
      <w:r>
        <w:rPr>
          <w:rFonts w:hint="default" w:ascii="Times New Roman" w:hAnsi="Times New Roman" w:cs="Times New Roman"/>
          <w:color w:val="auto"/>
          <w:sz w:val="32"/>
          <w:szCs w:val="32"/>
          <w:lang w:eastAsia="zh-CN"/>
        </w:rPr>
        <w:t>〕</w:t>
      </w:r>
      <w:r>
        <w:rPr>
          <w:rFonts w:hint="default" w:ascii="Times New Roman" w:hAnsi="Times New Roman" w:cs="Times New Roman"/>
          <w:color w:val="auto"/>
          <w:sz w:val="32"/>
          <w:szCs w:val="32"/>
        </w:rPr>
        <w:t>质量信用评价评分依据《乐山市电梯维保单位质量信用评价评分细则》进行，基本分为100分，各扣分项二级指标分值扣完为止；加分项最高不超过</w:t>
      </w:r>
      <w:r>
        <w:rPr>
          <w:rFonts w:hint="default" w:ascii="Times New Roman" w:hAnsi="Times New Roman" w:cs="Times New Roman"/>
          <w:color w:val="auto"/>
          <w:sz w:val="32"/>
          <w:szCs w:val="32"/>
          <w:lang w:val="en-US" w:eastAsia="zh-CN"/>
        </w:rPr>
        <w:t>10</w:t>
      </w:r>
      <w:r>
        <w:rPr>
          <w:rFonts w:hint="default" w:ascii="Times New Roman" w:hAnsi="Times New Roman" w:cs="Times New Roman"/>
          <w:color w:val="auto"/>
          <w:sz w:val="32"/>
          <w:szCs w:val="32"/>
        </w:rPr>
        <w:t>分。</w:t>
      </w:r>
    </w:p>
    <w:p>
      <w:pPr>
        <w:numPr>
          <w:ilvl w:val="0"/>
          <w:numId w:val="2"/>
        </w:numPr>
        <w:spacing w:line="560" w:lineRule="exact"/>
        <w:ind w:left="0" w:firstLine="640" w:firstLineChars="200"/>
        <w:rPr>
          <w:rFonts w:hint="default" w:ascii="Times New Roman" w:hAnsi="Times New Roman" w:cs="Times New Roman"/>
          <w:sz w:val="32"/>
          <w:szCs w:val="32"/>
        </w:rPr>
      </w:pPr>
      <w:r>
        <w:rPr>
          <w:rFonts w:hint="default" w:ascii="Times New Roman" w:hAnsi="Times New Roman" w:cs="Times New Roman"/>
          <w:sz w:val="32"/>
          <w:szCs w:val="32"/>
          <w:lang w:eastAsia="zh-CN"/>
        </w:rPr>
        <w:t>〔</w:t>
      </w:r>
      <w:r>
        <w:rPr>
          <w:rFonts w:hint="default" w:ascii="Times New Roman" w:hAnsi="Times New Roman" w:cs="Times New Roman"/>
          <w:sz w:val="32"/>
          <w:szCs w:val="32"/>
        </w:rPr>
        <w:t>评审要求</w:t>
      </w:r>
      <w:r>
        <w:rPr>
          <w:rFonts w:hint="default" w:ascii="Times New Roman" w:hAnsi="Times New Roman" w:cs="Times New Roman"/>
          <w:sz w:val="32"/>
          <w:szCs w:val="32"/>
          <w:lang w:eastAsia="zh-CN"/>
        </w:rPr>
        <w:t>〕</w:t>
      </w:r>
      <w:r>
        <w:rPr>
          <w:rFonts w:hint="default" w:ascii="Times New Roman" w:hAnsi="Times New Roman" w:cs="Times New Roman"/>
          <w:sz w:val="32"/>
          <w:szCs w:val="32"/>
        </w:rPr>
        <w:t>市局负责组织实施质量信用等级评定工作，协调相关人员成立评审组，对维保单位实地核查，计算汇总维保单位质量信用评定最终得分，确定公布维保单位质量信用等级评定结果。</w:t>
      </w:r>
    </w:p>
    <w:p>
      <w:pPr>
        <w:numPr>
          <w:ilvl w:val="0"/>
          <w:numId w:val="2"/>
        </w:numPr>
        <w:spacing w:line="560" w:lineRule="exact"/>
        <w:ind w:left="0" w:firstLine="640" w:firstLineChars="200"/>
        <w:rPr>
          <w:rFonts w:hint="default" w:ascii="Times New Roman" w:hAnsi="Times New Roman" w:cs="Times New Roman"/>
          <w:sz w:val="32"/>
          <w:szCs w:val="32"/>
        </w:rPr>
      </w:pPr>
      <w:r>
        <w:rPr>
          <w:rFonts w:hint="default" w:ascii="Times New Roman" w:hAnsi="Times New Roman" w:cs="Times New Roman"/>
          <w:sz w:val="32"/>
          <w:szCs w:val="32"/>
          <w:lang w:eastAsia="zh-CN"/>
        </w:rPr>
        <w:t>〔</w:t>
      </w:r>
      <w:r>
        <w:rPr>
          <w:rFonts w:hint="default" w:ascii="Times New Roman" w:hAnsi="Times New Roman" w:cs="Times New Roman"/>
          <w:sz w:val="32"/>
          <w:szCs w:val="32"/>
        </w:rPr>
        <w:t>评定程序</w:t>
      </w:r>
      <w:r>
        <w:rPr>
          <w:rFonts w:hint="default" w:ascii="Times New Roman" w:hAnsi="Times New Roman" w:cs="Times New Roman"/>
          <w:sz w:val="32"/>
          <w:szCs w:val="32"/>
          <w:lang w:eastAsia="zh-CN"/>
        </w:rPr>
        <w:t>〕</w:t>
      </w:r>
    </w:p>
    <w:p>
      <w:pPr>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（一）评审组成员</w:t>
      </w:r>
      <w:r>
        <w:rPr>
          <w:rFonts w:hint="default" w:ascii="Times New Roman" w:hAnsi="Times New Roman" w:cs="Times New Roman"/>
          <w:color w:val="auto"/>
          <w:sz w:val="32"/>
          <w:szCs w:val="32"/>
          <w:lang w:eastAsia="zh-CN"/>
        </w:rPr>
        <w:t>可</w:t>
      </w:r>
      <w:r>
        <w:rPr>
          <w:rFonts w:hint="default" w:ascii="Times New Roman" w:hAnsi="Times New Roman" w:cs="Times New Roman"/>
          <w:sz w:val="32"/>
          <w:szCs w:val="32"/>
        </w:rPr>
        <w:t>包含特种设备监管人员、检验人员、执法人员、专家等。</w:t>
      </w:r>
    </w:p>
    <w:p>
      <w:pPr>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（二）评审组汇总维保单位质量信用档案和检验情况，在对质量信用档案和检验情况进行审查的基础上，对照《乐山市电梯维保单位质量信用评价评分细则》对维保单位进行核查，形成评审报告报市局审定。</w:t>
      </w:r>
    </w:p>
    <w:p>
      <w:pPr>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（三）市局审定评审报告，确定各维保单位质量信用等级。</w:t>
      </w:r>
    </w:p>
    <w:p>
      <w:pPr>
        <w:numPr>
          <w:ilvl w:val="0"/>
          <w:numId w:val="1"/>
        </w:numPr>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结果运用</w:t>
      </w:r>
    </w:p>
    <w:p>
      <w:pPr>
        <w:numPr>
          <w:ilvl w:val="0"/>
          <w:numId w:val="2"/>
        </w:numPr>
        <w:spacing w:line="560" w:lineRule="exact"/>
        <w:ind w:left="0" w:firstLine="640" w:firstLineChars="200"/>
        <w:rPr>
          <w:rFonts w:hint="default" w:ascii="Times New Roman" w:hAnsi="Times New Roman" w:cs="Times New Roman"/>
          <w:sz w:val="32"/>
          <w:szCs w:val="32"/>
        </w:rPr>
      </w:pPr>
      <w:r>
        <w:rPr>
          <w:rFonts w:hint="default" w:ascii="Times New Roman" w:hAnsi="Times New Roman" w:cs="Times New Roman"/>
          <w:sz w:val="32"/>
          <w:szCs w:val="32"/>
          <w:lang w:eastAsia="zh-CN"/>
        </w:rPr>
        <w:t>〔</w:t>
      </w:r>
      <w:r>
        <w:rPr>
          <w:rFonts w:hint="default" w:ascii="Times New Roman" w:hAnsi="Times New Roman" w:cs="Times New Roman"/>
          <w:sz w:val="32"/>
          <w:szCs w:val="32"/>
        </w:rPr>
        <w:t>公开发布</w:t>
      </w:r>
      <w:r>
        <w:rPr>
          <w:rFonts w:hint="default" w:ascii="Times New Roman" w:hAnsi="Times New Roman" w:cs="Times New Roman"/>
          <w:sz w:val="32"/>
          <w:szCs w:val="32"/>
          <w:lang w:eastAsia="zh-CN"/>
        </w:rPr>
        <w:t>〕</w:t>
      </w:r>
      <w:r>
        <w:rPr>
          <w:rFonts w:hint="default" w:ascii="Times New Roman" w:hAnsi="Times New Roman" w:cs="Times New Roman"/>
          <w:sz w:val="32"/>
          <w:szCs w:val="32"/>
        </w:rPr>
        <w:t>在门户网站等渠道及时公布等级评定结果（附件</w:t>
      </w:r>
      <w:r>
        <w:rPr>
          <w:rFonts w:hint="default" w:ascii="Times New Roman" w:hAnsi="Times New Roman" w:cs="Times New Roman"/>
          <w:sz w:val="32"/>
          <w:szCs w:val="32"/>
          <w:lang w:val="en-US" w:eastAsia="zh-CN"/>
        </w:rPr>
        <w:t>6</w:t>
      </w:r>
      <w:r>
        <w:rPr>
          <w:rFonts w:hint="default" w:ascii="Times New Roman" w:hAnsi="Times New Roman" w:cs="Times New Roman"/>
          <w:sz w:val="32"/>
          <w:szCs w:val="32"/>
        </w:rPr>
        <w:t>），抄告市级相关部门，鼓励政府及相关部门使用企业质量信用等级评定结果。</w:t>
      </w:r>
    </w:p>
    <w:p>
      <w:pPr>
        <w:numPr>
          <w:ilvl w:val="0"/>
          <w:numId w:val="2"/>
        </w:numPr>
        <w:spacing w:line="560" w:lineRule="exact"/>
        <w:ind w:left="0" w:firstLine="640" w:firstLineChars="200"/>
        <w:rPr>
          <w:rFonts w:hint="default" w:ascii="Times New Roman" w:hAnsi="Times New Roman" w:cs="Times New Roman"/>
          <w:sz w:val="32"/>
          <w:szCs w:val="32"/>
        </w:rPr>
      </w:pPr>
      <w:r>
        <w:rPr>
          <w:rFonts w:hint="default" w:ascii="Times New Roman" w:hAnsi="Times New Roman" w:cs="Times New Roman"/>
          <w:sz w:val="32"/>
          <w:szCs w:val="32"/>
          <w:lang w:eastAsia="zh-CN"/>
        </w:rPr>
        <w:t>〔</w:t>
      </w:r>
      <w:r>
        <w:rPr>
          <w:rFonts w:hint="default" w:ascii="Times New Roman" w:hAnsi="Times New Roman" w:cs="Times New Roman"/>
          <w:sz w:val="32"/>
          <w:szCs w:val="32"/>
        </w:rPr>
        <w:t>分类监管</w:t>
      </w:r>
      <w:r>
        <w:rPr>
          <w:rFonts w:hint="default" w:ascii="Times New Roman" w:hAnsi="Times New Roman" w:cs="Times New Roman"/>
          <w:sz w:val="32"/>
          <w:szCs w:val="32"/>
          <w:lang w:eastAsia="zh-CN"/>
        </w:rPr>
        <w:t>〕</w:t>
      </w:r>
    </w:p>
    <w:p>
      <w:pPr>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对于评定结果为A等的维保单位，实施包容审慎监管，可适当减少现场监督检查频次，维保单位每年向所在区县局报告电梯安全管理责任落实情况。</w:t>
      </w:r>
    </w:p>
    <w:p>
      <w:pPr>
        <w:pStyle w:val="6"/>
        <w:widowControl w:val="0"/>
        <w:spacing w:before="0" w:beforeAutospacing="0" w:after="0" w:afterAutospacing="0" w:line="590" w:lineRule="exact"/>
        <w:ind w:firstLine="640" w:firstLineChars="200"/>
        <w:jc w:val="both"/>
        <w:rPr>
          <w:rFonts w:hint="default" w:ascii="Times New Roman" w:hAnsi="Times New Roman" w:cs="Times New Roman"/>
          <w:sz w:val="32"/>
          <w:szCs w:val="32"/>
        </w:rPr>
      </w:pPr>
      <w:r>
        <w:rPr>
          <w:rFonts w:hint="default" w:ascii="Times New Roman" w:hAnsi="Times New Roman" w:cs="Times New Roman"/>
          <w:sz w:val="32"/>
          <w:szCs w:val="32"/>
        </w:rPr>
        <w:t>对于评定结果为B等的维保单位，实施常态监管，维保单位每年向所在区县局报告电梯安全管理责任落实情况。</w:t>
      </w:r>
    </w:p>
    <w:p>
      <w:pPr>
        <w:pStyle w:val="6"/>
        <w:widowControl w:val="0"/>
        <w:spacing w:before="0" w:beforeAutospacing="0" w:after="0" w:afterAutospacing="0" w:line="590" w:lineRule="exact"/>
        <w:ind w:firstLine="640" w:firstLineChars="200"/>
        <w:jc w:val="both"/>
        <w:rPr>
          <w:rFonts w:hint="default" w:ascii="Times New Roman" w:hAnsi="Times New Roman" w:cs="Times New Roman"/>
          <w:sz w:val="32"/>
          <w:szCs w:val="32"/>
        </w:rPr>
      </w:pPr>
      <w:r>
        <w:rPr>
          <w:rFonts w:hint="default" w:ascii="Times New Roman" w:hAnsi="Times New Roman" w:cs="Times New Roman"/>
          <w:sz w:val="32"/>
          <w:szCs w:val="32"/>
        </w:rPr>
        <w:t>对于评定结果为C等的维保单位，实施重点监管，增加检查频次；维保单位每半年向所在区县局报告电梯安全管理责任落实情况。</w:t>
      </w:r>
    </w:p>
    <w:p>
      <w:pPr>
        <w:pStyle w:val="6"/>
        <w:widowControl w:val="0"/>
        <w:spacing w:before="0" w:beforeAutospacing="0" w:after="0" w:afterAutospacing="0" w:line="590" w:lineRule="exact"/>
        <w:ind w:firstLine="640" w:firstLineChars="200"/>
        <w:jc w:val="both"/>
        <w:rPr>
          <w:rFonts w:hint="default" w:ascii="Times New Roman" w:hAnsi="Times New Roman" w:cs="Times New Roman"/>
          <w:sz w:val="32"/>
          <w:szCs w:val="32"/>
        </w:rPr>
      </w:pPr>
      <w:r>
        <w:rPr>
          <w:rFonts w:hint="default" w:ascii="Times New Roman" w:hAnsi="Times New Roman" w:cs="Times New Roman"/>
          <w:sz w:val="32"/>
          <w:szCs w:val="32"/>
        </w:rPr>
        <w:t>对于评定结果为D等的维保单位，实施严格监管</w:t>
      </w:r>
      <w:r>
        <w:rPr>
          <w:rFonts w:hint="eastAsia" w:ascii="Times New Roman" w:hAnsi="Times New Roman" w:cs="Times New Roman"/>
          <w:sz w:val="32"/>
          <w:szCs w:val="32"/>
          <w:lang w:eastAsia="zh-CN"/>
        </w:rPr>
        <w:t>，并</w:t>
      </w:r>
      <w:r>
        <w:rPr>
          <w:rFonts w:hint="default" w:ascii="Times New Roman" w:hAnsi="Times New Roman" w:cs="Times New Roman"/>
          <w:sz w:val="32"/>
          <w:szCs w:val="32"/>
        </w:rPr>
        <w:t>依法采取下列特别监管措施：</w:t>
      </w:r>
    </w:p>
    <w:p>
      <w:pPr>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1.市局对其法定代表人进行约谈；</w:t>
      </w:r>
    </w:p>
    <w:p>
      <w:pPr>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2.所在区县局将其纳入重点监管范围，增加现场安全监察频次。</w:t>
      </w:r>
    </w:p>
    <w:p>
      <w:pPr>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3.每季度向所在区县局报告电梯安全管理责任落实情况。</w:t>
      </w:r>
    </w:p>
    <w:p>
      <w:pPr>
        <w:pStyle w:val="6"/>
        <w:widowControl w:val="0"/>
        <w:spacing w:before="0" w:beforeAutospacing="0" w:after="0" w:afterAutospacing="0" w:line="590" w:lineRule="exact"/>
        <w:ind w:firstLine="640" w:firstLineChars="200"/>
        <w:jc w:val="both"/>
        <w:rPr>
          <w:rFonts w:hint="default" w:ascii="Times New Roman" w:hAnsi="Times New Roman" w:cs="Times New Roman"/>
          <w:sz w:val="32"/>
          <w:szCs w:val="32"/>
        </w:rPr>
      </w:pPr>
      <w:r>
        <w:rPr>
          <w:rFonts w:hint="default" w:ascii="Times New Roman" w:hAnsi="Times New Roman" w:cs="Times New Roman"/>
          <w:sz w:val="32"/>
          <w:szCs w:val="32"/>
        </w:rPr>
        <w:t>4.已有的维保业务实施留证管理，对机房、轿顶、底坑的保养工作拍照留证以备检查，存档的照片应至少保留1年；</w:t>
      </w:r>
    </w:p>
    <w:p>
      <w:pPr>
        <w:pStyle w:val="6"/>
        <w:widowControl w:val="0"/>
        <w:spacing w:before="0" w:beforeAutospacing="0" w:after="0" w:afterAutospacing="0" w:line="590" w:lineRule="exact"/>
        <w:ind w:firstLine="640" w:firstLineChars="200"/>
        <w:jc w:val="both"/>
        <w:rPr>
          <w:rFonts w:hint="default" w:ascii="Times New Roman" w:hAnsi="Times New Roman" w:cs="Times New Roman"/>
          <w:sz w:val="32"/>
          <w:szCs w:val="32"/>
        </w:rPr>
      </w:pPr>
      <w:r>
        <w:rPr>
          <w:rFonts w:hint="default" w:ascii="Times New Roman" w:hAnsi="Times New Roman" w:cs="Times New Roman"/>
          <w:sz w:val="32"/>
          <w:szCs w:val="32"/>
        </w:rPr>
        <w:t>如D等维保单位未落实3、4项要求，监管部门向发证机关报告相关情况。</w:t>
      </w:r>
    </w:p>
    <w:p>
      <w:pPr>
        <w:numPr>
          <w:ilvl w:val="0"/>
          <w:numId w:val="2"/>
        </w:numPr>
        <w:spacing w:line="560" w:lineRule="exact"/>
        <w:ind w:left="0" w:firstLine="640" w:firstLineChars="200"/>
        <w:rPr>
          <w:rFonts w:hint="default" w:ascii="Times New Roman" w:hAnsi="Times New Roman" w:cs="Times New Roman"/>
          <w:sz w:val="32"/>
          <w:szCs w:val="32"/>
        </w:rPr>
      </w:pPr>
      <w:r>
        <w:rPr>
          <w:rFonts w:hint="default" w:ascii="Times New Roman" w:hAnsi="Times New Roman" w:cs="Times New Roman"/>
          <w:sz w:val="32"/>
          <w:szCs w:val="32"/>
          <w:lang w:eastAsia="zh-CN"/>
        </w:rPr>
        <w:t>〔</w:t>
      </w:r>
      <w:r>
        <w:rPr>
          <w:rFonts w:hint="default" w:ascii="Times New Roman" w:hAnsi="Times New Roman" w:cs="Times New Roman"/>
          <w:sz w:val="32"/>
          <w:szCs w:val="32"/>
        </w:rPr>
        <w:t>检查要求</w:t>
      </w:r>
      <w:r>
        <w:rPr>
          <w:rFonts w:hint="default" w:ascii="Times New Roman" w:hAnsi="Times New Roman" w:cs="Times New Roman"/>
          <w:sz w:val="32"/>
          <w:szCs w:val="32"/>
          <w:lang w:eastAsia="zh-CN"/>
        </w:rPr>
        <w:t>〕</w:t>
      </w:r>
      <w:r>
        <w:rPr>
          <w:rFonts w:hint="default" w:ascii="Times New Roman" w:hAnsi="Times New Roman" w:cs="Times New Roman"/>
          <w:sz w:val="32"/>
          <w:szCs w:val="32"/>
        </w:rPr>
        <w:t>区县局应当客观、公正开展考核评价工作。在一个考核评价周期内，区县局应当对辖区内所有维保单位开展现场监督检查，并将检查记录装入维保单位质量信用档案，对于检查中发现问题限期整改，发现问题较多的应当增加检查频次。</w:t>
      </w:r>
    </w:p>
    <w:p>
      <w:pPr>
        <w:numPr>
          <w:ilvl w:val="0"/>
          <w:numId w:val="1"/>
        </w:numPr>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 则</w:t>
      </w:r>
    </w:p>
    <w:p>
      <w:pPr>
        <w:numPr>
          <w:ilvl w:val="0"/>
          <w:numId w:val="2"/>
        </w:numPr>
        <w:spacing w:line="560" w:lineRule="exact"/>
        <w:ind w:left="0" w:firstLine="640" w:firstLineChars="200"/>
        <w:rPr>
          <w:rFonts w:hint="default" w:ascii="Times New Roman" w:hAnsi="Times New Roman" w:cs="Times New Roman"/>
          <w:sz w:val="32"/>
          <w:szCs w:val="32"/>
        </w:rPr>
      </w:pPr>
      <w:r>
        <w:rPr>
          <w:rFonts w:hint="default" w:ascii="Times New Roman" w:hAnsi="Times New Roman" w:cs="Times New Roman"/>
          <w:sz w:val="32"/>
          <w:szCs w:val="32"/>
          <w:lang w:eastAsia="zh-CN"/>
        </w:rPr>
        <w:t>〔</w:t>
      </w:r>
      <w:r>
        <w:rPr>
          <w:rFonts w:hint="default" w:ascii="Times New Roman" w:hAnsi="Times New Roman" w:cs="Times New Roman"/>
          <w:sz w:val="32"/>
          <w:szCs w:val="32"/>
        </w:rPr>
        <w:t>信息管理</w:t>
      </w:r>
      <w:r>
        <w:rPr>
          <w:rFonts w:hint="default" w:ascii="Times New Roman" w:hAnsi="Times New Roman" w:cs="Times New Roman"/>
          <w:sz w:val="32"/>
          <w:szCs w:val="32"/>
          <w:lang w:eastAsia="zh-CN"/>
        </w:rPr>
        <w:t>〕</w:t>
      </w:r>
      <w:r>
        <w:rPr>
          <w:rFonts w:hint="default" w:ascii="Times New Roman" w:hAnsi="Times New Roman" w:cs="Times New Roman"/>
          <w:sz w:val="32"/>
          <w:szCs w:val="32"/>
        </w:rPr>
        <w:t>各维保单位应当在开展维保业务前按照《维保单位基础信用信息告知资料》（附件</w:t>
      </w:r>
      <w:r>
        <w:rPr>
          <w:rFonts w:hint="default" w:ascii="Times New Roman" w:hAnsi="Times New Roman" w:cs="Times New Roman"/>
          <w:sz w:val="32"/>
          <w:szCs w:val="32"/>
          <w:lang w:val="en-US" w:eastAsia="zh-CN"/>
        </w:rPr>
        <w:t>7</w:t>
      </w:r>
      <w:r>
        <w:rPr>
          <w:rFonts w:hint="default" w:ascii="Times New Roman" w:hAnsi="Times New Roman" w:cs="Times New Roman"/>
          <w:sz w:val="32"/>
          <w:szCs w:val="32"/>
        </w:rPr>
        <w:t>）要求，提交相关资料，并在乐山市特种设备综合管理系统（以下简称系统）中填报、上传基础信用信息，主动接受监管。</w:t>
      </w:r>
    </w:p>
    <w:p>
      <w:pPr>
        <w:numPr>
          <w:ilvl w:val="0"/>
          <w:numId w:val="2"/>
        </w:numPr>
        <w:spacing w:line="560" w:lineRule="exact"/>
        <w:ind w:left="0" w:firstLine="640" w:firstLineChars="200"/>
        <w:rPr>
          <w:rFonts w:hint="default" w:ascii="Times New Roman" w:hAnsi="Times New Roman" w:cs="Times New Roman"/>
          <w:sz w:val="32"/>
          <w:szCs w:val="32"/>
        </w:rPr>
      </w:pPr>
      <w:r>
        <w:rPr>
          <w:rFonts w:hint="default" w:ascii="Times New Roman" w:hAnsi="Times New Roman" w:cs="Times New Roman"/>
          <w:sz w:val="32"/>
          <w:szCs w:val="32"/>
          <w:lang w:eastAsia="zh-CN"/>
        </w:rPr>
        <w:t>〔</w:t>
      </w:r>
      <w:r>
        <w:rPr>
          <w:rFonts w:hint="default" w:ascii="Times New Roman" w:hAnsi="Times New Roman" w:cs="Times New Roman"/>
          <w:sz w:val="32"/>
          <w:szCs w:val="32"/>
        </w:rPr>
        <w:t>参评条件</w:t>
      </w:r>
      <w:r>
        <w:rPr>
          <w:rFonts w:hint="default" w:ascii="Times New Roman" w:hAnsi="Times New Roman" w:cs="Times New Roman"/>
          <w:sz w:val="32"/>
          <w:szCs w:val="32"/>
          <w:lang w:eastAsia="zh-CN"/>
        </w:rPr>
        <w:t>〕</w:t>
      </w:r>
      <w:r>
        <w:rPr>
          <w:rFonts w:hint="default" w:ascii="Times New Roman" w:hAnsi="Times New Roman" w:cs="Times New Roman"/>
          <w:sz w:val="32"/>
          <w:szCs w:val="32"/>
        </w:rPr>
        <w:t>维保单位在乐山开展业务未满1年的，按《乐山市电梯维保单位质量信用管理细则》管理，但不评定等级。</w:t>
      </w:r>
    </w:p>
    <w:p>
      <w:pPr>
        <w:numPr>
          <w:ilvl w:val="0"/>
          <w:numId w:val="2"/>
        </w:numPr>
        <w:spacing w:line="560" w:lineRule="exact"/>
        <w:ind w:left="0" w:firstLine="640" w:firstLineChars="200"/>
        <w:rPr>
          <w:rFonts w:hint="default" w:ascii="Times New Roman" w:hAnsi="Times New Roman" w:cs="Times New Roman"/>
          <w:sz w:val="32"/>
          <w:szCs w:val="32"/>
        </w:rPr>
      </w:pPr>
      <w:r>
        <w:rPr>
          <w:rFonts w:hint="default" w:ascii="Times New Roman" w:hAnsi="Times New Roman" w:cs="Times New Roman"/>
          <w:sz w:val="32"/>
          <w:szCs w:val="32"/>
          <w:lang w:eastAsia="zh-CN"/>
        </w:rPr>
        <w:t>〔</w:t>
      </w:r>
      <w:r>
        <w:rPr>
          <w:rFonts w:hint="default" w:ascii="Times New Roman" w:hAnsi="Times New Roman" w:cs="Times New Roman"/>
          <w:sz w:val="32"/>
          <w:szCs w:val="32"/>
        </w:rPr>
        <w:t>解释权限</w:t>
      </w:r>
      <w:r>
        <w:rPr>
          <w:rFonts w:hint="default" w:ascii="Times New Roman" w:hAnsi="Times New Roman" w:cs="Times New Roman"/>
          <w:sz w:val="32"/>
          <w:szCs w:val="32"/>
          <w:lang w:eastAsia="zh-CN"/>
        </w:rPr>
        <w:t>〕</w:t>
      </w:r>
      <w:r>
        <w:rPr>
          <w:rFonts w:hint="default" w:ascii="Times New Roman" w:hAnsi="Times New Roman" w:cs="Times New Roman"/>
          <w:sz w:val="32"/>
          <w:szCs w:val="32"/>
        </w:rPr>
        <w:t>本办法由乐山市市场监督管理局负责解释。</w:t>
      </w:r>
    </w:p>
    <w:p>
      <w:pPr>
        <w:numPr>
          <w:ilvl w:val="0"/>
          <w:numId w:val="2"/>
        </w:numPr>
        <w:spacing w:line="560" w:lineRule="exact"/>
        <w:ind w:left="0" w:firstLine="640" w:firstLineChars="200"/>
        <w:rPr>
          <w:rFonts w:hint="default" w:ascii="Times New Roman" w:hAnsi="Times New Roman" w:cs="Times New Roman"/>
          <w:sz w:val="32"/>
          <w:szCs w:val="32"/>
        </w:rPr>
      </w:pPr>
      <w:r>
        <w:rPr>
          <w:rFonts w:hint="default" w:ascii="Times New Roman" w:hAnsi="Times New Roman" w:cs="Times New Roman"/>
          <w:sz w:val="32"/>
          <w:szCs w:val="32"/>
          <w:lang w:eastAsia="zh-CN"/>
        </w:rPr>
        <w:t>〔</w:t>
      </w:r>
      <w:r>
        <w:rPr>
          <w:rFonts w:hint="default" w:ascii="Times New Roman" w:hAnsi="Times New Roman" w:cs="Times New Roman"/>
          <w:sz w:val="32"/>
          <w:szCs w:val="32"/>
        </w:rPr>
        <w:t>有效期限</w:t>
      </w:r>
      <w:r>
        <w:rPr>
          <w:rFonts w:hint="default" w:ascii="Times New Roman" w:hAnsi="Times New Roman" w:cs="Times New Roman"/>
          <w:sz w:val="32"/>
          <w:szCs w:val="32"/>
          <w:lang w:eastAsia="zh-CN"/>
        </w:rPr>
        <w:t>〕</w:t>
      </w:r>
      <w:r>
        <w:rPr>
          <w:rFonts w:hint="default" w:ascii="Times New Roman" w:hAnsi="Times New Roman" w:cs="Times New Roman"/>
          <w:sz w:val="32"/>
          <w:szCs w:val="32"/>
        </w:rPr>
        <w:t>本办法自印发之日起施行。</w:t>
      </w:r>
    </w:p>
    <w:p>
      <w:pPr>
        <w:rPr>
          <w:rFonts w:hint="default" w:ascii="Times New Roman" w:hAnsi="Times New Roman" w:eastAsia="黑体" w:cs="Times New Roman"/>
          <w:sz w:val="28"/>
          <w:szCs w:val="28"/>
        </w:rPr>
        <w:sectPr>
          <w:headerReference r:id="rId3" w:type="default"/>
          <w:footerReference r:id="rId4" w:type="default"/>
          <w:type w:val="continuous"/>
          <w:pgSz w:w="11907" w:h="16840"/>
          <w:pgMar w:top="1440" w:right="1080" w:bottom="1440" w:left="1080" w:header="624" w:footer="1021" w:gutter="0"/>
          <w:pgBorders>
            <w:top w:val="none" w:sz="0" w:space="0"/>
            <w:left w:val="none" w:sz="0" w:space="0"/>
            <w:bottom w:val="none" w:sz="0" w:space="0"/>
            <w:right w:val="none" w:sz="0" w:space="0"/>
          </w:pgBorders>
          <w:pgNumType w:fmt="numberInDash"/>
          <w:cols w:space="425" w:num="1"/>
          <w:docGrid w:type="lines" w:linePitch="608" w:charSpace="-432"/>
        </w:sectPr>
      </w:pPr>
    </w:p>
    <w:p>
      <w:pPr>
        <w:ind w:firstLine="560" w:firstLineChars="20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附件1</w:t>
      </w:r>
    </w:p>
    <w:p>
      <w:pPr>
        <w:spacing w:line="400" w:lineRule="exact"/>
        <w:jc w:val="center"/>
        <w:rPr>
          <w:rFonts w:hint="default" w:ascii="Times New Roman" w:hAnsi="Times New Roman" w:eastAsia="方正小标宋_GBK" w:cs="Times New Roman"/>
          <w:kern w:val="0"/>
          <w:sz w:val="32"/>
          <w:szCs w:val="32"/>
        </w:rPr>
      </w:pPr>
      <w:r>
        <w:rPr>
          <w:rFonts w:hint="default" w:ascii="Times New Roman" w:hAnsi="Times New Roman" w:eastAsia="方正小标宋_GBK" w:cs="Times New Roman"/>
          <w:kern w:val="0"/>
          <w:sz w:val="32"/>
          <w:szCs w:val="32"/>
        </w:rPr>
        <w:t>乐山市电梯维保单位质量信用评价评分细则</w:t>
      </w:r>
    </w:p>
    <w:tbl>
      <w:tblPr>
        <w:tblStyle w:val="8"/>
        <w:tblW w:w="1434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575"/>
        <w:gridCol w:w="5566"/>
        <w:gridCol w:w="5190"/>
        <w:gridCol w:w="9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一级指标</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二级指标</w:t>
            </w: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三级指标</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评价标准</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评价主体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1.基础信用信息（15分）</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1.1人员要求（5分）</w:t>
            </w: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1.1.1本地注册单位作业人员按要求告知</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异地驻点现场负责人、作业人员按要求告知</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上传信息不准确、不及时的，1次扣1分</w:t>
            </w:r>
          </w:p>
        </w:tc>
        <w:tc>
          <w:tcPr>
            <w:tcW w:w="93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区县局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1.1.2实际从事维保工作（含应急救援）的作业人员应当符合《特种设备安全法》《电梯维护保养规则》的要求，且为本单位人员</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以维保合同为准，单独从事维保工作的维保人员无证（包括证件过期），1次扣5分；维保或实施应急救援的人员不是本单位聘用人员的，1次扣5分，该人员聘用单位（以告知为准）扣5分</w:t>
            </w:r>
          </w:p>
        </w:tc>
        <w:tc>
          <w:tcPr>
            <w:tcW w:w="93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1.2许可证要求（5分）</w:t>
            </w: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1.2.1持有有效期内的特种设备安装改造修理许可证</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许可证到期、超许可范围维保电梯，1次扣5分；</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许可证上传不准确、不及时，1次扣1分</w:t>
            </w:r>
          </w:p>
        </w:tc>
        <w:tc>
          <w:tcPr>
            <w:tcW w:w="93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1.3场地要求（5分）</w:t>
            </w: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1.3.1有固定办公场所</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无固定场所或场所与告知不一致的，1次扣1分</w:t>
            </w:r>
          </w:p>
        </w:tc>
        <w:tc>
          <w:tcPr>
            <w:tcW w:w="93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2.质量保障能力（15分）</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2.1维保档案（5分）</w:t>
            </w: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2.1.1按要求建立、报送维保清单</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未及时在系统变更维保设备清单的或变更不准确的，1台次扣0.1分</w:t>
            </w:r>
          </w:p>
        </w:tc>
        <w:tc>
          <w:tcPr>
            <w:tcW w:w="93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2.1.2建立“一梯一档”电梯维保技术档案</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未建立电梯维保技术档案或技术档案不完整、不规范，1次扣1分</w:t>
            </w:r>
          </w:p>
        </w:tc>
        <w:tc>
          <w:tcPr>
            <w:tcW w:w="93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2.1.3维保记录符合法律和安全技术规范要求</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维保内容缺项漏项、维保人员和使用单位未签字或他人代签的，1台次扣0.5分</w:t>
            </w:r>
          </w:p>
        </w:tc>
        <w:tc>
          <w:tcPr>
            <w:tcW w:w="93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2.1.4电梯发生故障等情况应当详细记录（包括报修时间、到达时间、故障现象，检查处理情况等）</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无记录或记录不完整，1台次扣0.5分</w:t>
            </w:r>
          </w:p>
        </w:tc>
        <w:tc>
          <w:tcPr>
            <w:tcW w:w="93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2.2工作现场（5分）</w:t>
            </w: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2.2.1维保现场应设置安全护栏和标记，应在显著位置明示电梯维保、请勿乘坐等安全警示标识</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未设置的，1次扣0.5分</w:t>
            </w:r>
          </w:p>
        </w:tc>
        <w:tc>
          <w:tcPr>
            <w:tcW w:w="93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r>
              <w:rPr>
                <w:rFonts w:hint="eastAsia" w:ascii="宋体" w:hAnsi="宋体" w:cs="宋体"/>
                <w:i w:val="0"/>
                <w:color w:val="000000"/>
                <w:kern w:val="0"/>
                <w:sz w:val="22"/>
                <w:szCs w:val="22"/>
                <w:u w:val="none"/>
                <w:lang w:val="en-US" w:eastAsia="zh-CN" w:bidi="ar"/>
              </w:rPr>
              <w:t>2</w:t>
            </w:r>
            <w:r>
              <w:rPr>
                <w:rFonts w:hint="eastAsia" w:ascii="宋体" w:hAnsi="宋体" w:eastAsia="宋体" w:cs="宋体"/>
                <w:i w:val="0"/>
                <w:color w:val="000000"/>
                <w:kern w:val="0"/>
                <w:sz w:val="22"/>
                <w:szCs w:val="22"/>
                <w:u w:val="none"/>
                <w:lang w:val="en-US" w:eastAsia="zh-CN" w:bidi="ar"/>
              </w:rPr>
              <w:t>维保人员现场作业应随身携带作业人员证或盖有维保单位鲜章的作业人员标牌</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未携带的，1次扣0.5分</w:t>
            </w:r>
          </w:p>
        </w:tc>
        <w:tc>
          <w:tcPr>
            <w:tcW w:w="93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r>
              <w:rPr>
                <w:rFonts w:hint="eastAsia" w:ascii="宋体" w:hAnsi="宋体" w:cs="宋体"/>
                <w:i w:val="0"/>
                <w:color w:val="000000"/>
                <w:kern w:val="0"/>
                <w:sz w:val="22"/>
                <w:szCs w:val="22"/>
                <w:u w:val="none"/>
                <w:lang w:val="en-US" w:eastAsia="zh-CN" w:bidi="ar"/>
              </w:rPr>
              <w:t>3</w:t>
            </w:r>
            <w:r>
              <w:rPr>
                <w:rFonts w:hint="eastAsia" w:ascii="宋体" w:hAnsi="宋体" w:eastAsia="宋体" w:cs="宋体"/>
                <w:i w:val="0"/>
                <w:color w:val="000000"/>
                <w:kern w:val="0"/>
                <w:sz w:val="22"/>
                <w:szCs w:val="22"/>
                <w:u w:val="none"/>
                <w:lang w:val="en-US" w:eastAsia="zh-CN" w:bidi="ar"/>
              </w:rPr>
              <w:t>应急救援（5分）</w:t>
            </w: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r>
              <w:rPr>
                <w:rFonts w:hint="eastAsia" w:ascii="宋体" w:hAnsi="宋体" w:cs="宋体"/>
                <w:i w:val="0"/>
                <w:color w:val="000000"/>
                <w:kern w:val="0"/>
                <w:sz w:val="22"/>
                <w:szCs w:val="22"/>
                <w:u w:val="none"/>
                <w:lang w:val="en-US" w:eastAsia="zh-CN" w:bidi="ar"/>
              </w:rPr>
              <w:t>3</w:t>
            </w:r>
            <w:r>
              <w:rPr>
                <w:rFonts w:hint="eastAsia" w:ascii="宋体" w:hAnsi="宋体" w:eastAsia="宋体" w:cs="宋体"/>
                <w:i w:val="0"/>
                <w:color w:val="000000"/>
                <w:kern w:val="0"/>
                <w:sz w:val="22"/>
                <w:szCs w:val="22"/>
                <w:u w:val="none"/>
                <w:lang w:val="en-US" w:eastAsia="zh-CN" w:bidi="ar"/>
              </w:rPr>
              <w:t>.1每半年对维保的不同类别电梯进行1次应急演练；</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未开展的扣2分</w:t>
            </w:r>
          </w:p>
        </w:tc>
        <w:tc>
          <w:tcPr>
            <w:tcW w:w="93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r>
              <w:rPr>
                <w:rFonts w:hint="eastAsia" w:ascii="宋体" w:hAnsi="宋体" w:cs="宋体"/>
                <w:i w:val="0"/>
                <w:color w:val="000000"/>
                <w:kern w:val="0"/>
                <w:sz w:val="22"/>
                <w:szCs w:val="22"/>
                <w:u w:val="none"/>
                <w:lang w:val="en-US" w:eastAsia="zh-CN" w:bidi="ar"/>
              </w:rPr>
              <w:t>3</w:t>
            </w:r>
            <w:r>
              <w:rPr>
                <w:rFonts w:hint="eastAsia" w:ascii="宋体" w:hAnsi="宋体" w:eastAsia="宋体" w:cs="宋体"/>
                <w:i w:val="0"/>
                <w:color w:val="000000"/>
                <w:kern w:val="0"/>
                <w:sz w:val="22"/>
                <w:szCs w:val="22"/>
                <w:u w:val="none"/>
                <w:lang w:val="en-US" w:eastAsia="zh-CN" w:bidi="ar"/>
              </w:rPr>
              <w:t>.2电梯应急救援应当及时，操作应符合应急救援操作说明要求</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市区超过30分钟，其他地区超过1小时，1次扣</w:t>
            </w:r>
            <w:r>
              <w:rPr>
                <w:rFonts w:hint="eastAsia" w:ascii="宋体" w:hAnsi="宋体" w:cs="宋体"/>
                <w:i w:val="0"/>
                <w:color w:val="000000"/>
                <w:kern w:val="0"/>
                <w:sz w:val="22"/>
                <w:szCs w:val="22"/>
                <w:u w:val="none"/>
                <w:lang w:val="en-US" w:eastAsia="zh-CN" w:bidi="ar"/>
              </w:rPr>
              <w:t>5</w:t>
            </w:r>
            <w:r>
              <w:rPr>
                <w:rFonts w:hint="eastAsia" w:ascii="宋体" w:hAnsi="宋体" w:eastAsia="宋体" w:cs="宋体"/>
                <w:i w:val="0"/>
                <w:color w:val="000000"/>
                <w:kern w:val="0"/>
                <w:sz w:val="22"/>
                <w:szCs w:val="22"/>
                <w:u w:val="none"/>
                <w:lang w:val="en-US" w:eastAsia="zh-CN" w:bidi="ar"/>
              </w:rPr>
              <w:t>分；操作不符合应急救援操作说明相关要求的，1次扣2分</w:t>
            </w:r>
          </w:p>
        </w:tc>
        <w:tc>
          <w:tcPr>
            <w:tcW w:w="93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3.安全共治能力（15分）</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3.1隐患处置（10分）</w:t>
            </w: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3.1.1发现电梯事故隐患应当书面报告电梯使用单位</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发现事故隐患未书面及时告知的，1次扣2分</w:t>
            </w:r>
          </w:p>
        </w:tc>
        <w:tc>
          <w:tcPr>
            <w:tcW w:w="93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3.1.2发现电梯存在的严重事故隐患应当书面报告当地县级监管部门</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发现严重事故隐患未书面及时告知的，1次扣2分</w:t>
            </w:r>
          </w:p>
        </w:tc>
        <w:tc>
          <w:tcPr>
            <w:tcW w:w="93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3.2安全共治（5分）</w:t>
            </w: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3.2.1积极配合电梯安全监管部门开展电梯安全排查等专项整治工作，并按时上报有关检查情况记录、报表</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查看相关报送记录或报表，未按时上报的，1次扣1分</w:t>
            </w:r>
          </w:p>
        </w:tc>
        <w:tc>
          <w:tcPr>
            <w:tcW w:w="93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4.其他不良记录（10分）</w:t>
            </w:r>
          </w:p>
        </w:tc>
        <w:tc>
          <w:tcPr>
            <w:tcW w:w="15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4.1不良记录（10分）</w:t>
            </w: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4.1.1分包、转包电梯维保业务</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现场检查维保合同，发现1次扣</w:t>
            </w:r>
            <w:r>
              <w:rPr>
                <w:rFonts w:hint="eastAsia" w:ascii="宋体" w:hAnsi="宋体" w:cs="宋体"/>
                <w:i w:val="0"/>
                <w:color w:val="000000"/>
                <w:kern w:val="0"/>
                <w:sz w:val="22"/>
                <w:szCs w:val="22"/>
                <w:u w:val="none"/>
                <w:lang w:val="en-US" w:eastAsia="zh-CN" w:bidi="ar"/>
              </w:rPr>
              <w:t>5</w:t>
            </w:r>
            <w:r>
              <w:rPr>
                <w:rFonts w:hint="eastAsia" w:ascii="宋体" w:hAnsi="宋体" w:eastAsia="宋体" w:cs="宋体"/>
                <w:i w:val="0"/>
                <w:color w:val="000000"/>
                <w:kern w:val="0"/>
                <w:sz w:val="22"/>
                <w:szCs w:val="22"/>
                <w:u w:val="none"/>
                <w:lang w:val="en-US" w:eastAsia="zh-CN" w:bidi="ar"/>
              </w:rPr>
              <w:t>分</w:t>
            </w:r>
          </w:p>
        </w:tc>
        <w:tc>
          <w:tcPr>
            <w:tcW w:w="93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4.1.2非因设备存在安全隐患或发生故障等情况，维保单位擅自长时间停梯</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1台次扣</w:t>
            </w:r>
            <w:r>
              <w:rPr>
                <w:rFonts w:hint="eastAsia" w:ascii="宋体" w:hAnsi="宋体" w:cs="宋体"/>
                <w:i w:val="0"/>
                <w:color w:val="000000"/>
                <w:kern w:val="0"/>
                <w:sz w:val="22"/>
                <w:szCs w:val="22"/>
                <w:u w:val="none"/>
                <w:lang w:val="en-US" w:eastAsia="zh-CN" w:bidi="ar"/>
              </w:rPr>
              <w:t>5</w:t>
            </w:r>
            <w:r>
              <w:rPr>
                <w:rFonts w:hint="eastAsia" w:ascii="宋体" w:hAnsi="宋体" w:eastAsia="宋体" w:cs="宋体"/>
                <w:i w:val="0"/>
                <w:color w:val="000000"/>
                <w:kern w:val="0"/>
                <w:sz w:val="22"/>
                <w:szCs w:val="22"/>
                <w:u w:val="none"/>
                <w:lang w:val="en-US" w:eastAsia="zh-CN" w:bidi="ar"/>
              </w:rPr>
              <w:t>分</w:t>
            </w:r>
          </w:p>
        </w:tc>
        <w:tc>
          <w:tcPr>
            <w:tcW w:w="93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4.1.3新闻媒体负面报道或造成不良社会影响</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1次扣3分</w:t>
            </w:r>
          </w:p>
        </w:tc>
        <w:tc>
          <w:tcPr>
            <w:tcW w:w="93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4.1.4电梯轿厢内紧急报警装置失效、防止门夹人的保护装置失效；运行的自动扶梯或自动人行道梳齿板有断裂</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1台次扣1分</w:t>
            </w:r>
          </w:p>
        </w:tc>
        <w:tc>
          <w:tcPr>
            <w:tcW w:w="93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4.1.5未在电梯轿厢内应张贴特种设备使用标志、电梯安全注意事项（模板见附件11）或者特种设备使用标志过期的</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1次扣0.5分</w:t>
            </w:r>
          </w:p>
        </w:tc>
        <w:tc>
          <w:tcPr>
            <w:tcW w:w="93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4.1.6电梯轿厢内公示的维保单位值班电话应与该维保单位告知的24小时维保值班电话不一致或者无人应答的</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1次扣1分</w:t>
            </w:r>
          </w:p>
        </w:tc>
        <w:tc>
          <w:tcPr>
            <w:tcW w:w="93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4.1.7投诉情况</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投诉情况与核实情况一致的，1次扣1分</w:t>
            </w:r>
          </w:p>
        </w:tc>
        <w:tc>
          <w:tcPr>
            <w:tcW w:w="93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5.检验和评价（45分）</w:t>
            </w:r>
          </w:p>
        </w:tc>
        <w:tc>
          <w:tcPr>
            <w:tcW w:w="15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5.1检验情况（30分）</w:t>
            </w:r>
          </w:p>
        </w:tc>
        <w:tc>
          <w:tcPr>
            <w:tcW w:w="5566"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5.1.1检验一次性通过率（不包含委托检验）</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年终统计，低于75%的，每1%扣1分。 </w:t>
            </w:r>
          </w:p>
        </w:tc>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市局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1080"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566"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5.1.2自检报告使用单位和维护保养单位签字盖章完整，检验项目完整，内容填写规范，自检报告数据与结论详实准确，无作假痕迹</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不符的，1份（台）扣0.5分</w:t>
            </w: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1080"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566"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5.1.3严重安全隐患情况</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以《特种设备检验意见通知书》为准，存在违规短接门锁、安全回路，制动器动作情况不符合要求，平衡系数不符合要求等严重安全隐患的，1次扣2分</w:t>
            </w: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5.2评价情况（15分）</w:t>
            </w:r>
          </w:p>
        </w:tc>
        <w:tc>
          <w:tcPr>
            <w:tcW w:w="5566"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5.2.1使用单位满意度评价</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向使用单位发放满意度问卷，1份基本满意扣0.</w:t>
            </w: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分，1份不满意扣</w:t>
            </w:r>
            <w:r>
              <w:rPr>
                <w:rFonts w:hint="eastAsia" w:ascii="宋体" w:hAnsi="宋体" w:cs="宋体"/>
                <w:i w:val="0"/>
                <w:color w:val="000000"/>
                <w:kern w:val="0"/>
                <w:sz w:val="22"/>
                <w:szCs w:val="22"/>
                <w:u w:val="none"/>
                <w:lang w:val="en-US" w:eastAsia="zh-CN" w:bidi="ar"/>
              </w:rPr>
              <w:t>2</w:t>
            </w:r>
            <w:r>
              <w:rPr>
                <w:rFonts w:hint="eastAsia" w:ascii="宋体" w:hAnsi="宋体" w:eastAsia="宋体" w:cs="宋体"/>
                <w:i w:val="0"/>
                <w:color w:val="000000"/>
                <w:kern w:val="0"/>
                <w:sz w:val="22"/>
                <w:szCs w:val="22"/>
                <w:u w:val="none"/>
                <w:lang w:val="en-US" w:eastAsia="zh-CN" w:bidi="ar"/>
              </w:rPr>
              <w:t>分</w:t>
            </w:r>
            <w:r>
              <w:rPr>
                <w:rFonts w:hint="eastAsia" w:ascii="宋体" w:hAnsi="宋体" w:cs="宋体"/>
                <w:i w:val="0"/>
                <w:color w:val="000000"/>
                <w:kern w:val="0"/>
                <w:sz w:val="22"/>
                <w:szCs w:val="22"/>
                <w:u w:val="none"/>
                <w:lang w:val="en-US" w:eastAsia="zh-CN" w:bidi="ar"/>
              </w:rPr>
              <w:t>，未收回的按不满意扣分</w:t>
            </w: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6.加分项</w:t>
            </w:r>
          </w:p>
        </w:tc>
        <w:tc>
          <w:tcPr>
            <w:tcW w:w="1575"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6.1先进管理</w:t>
            </w: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6.1.1质量保证体系建立健全</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建立健全质量保证体系规范完整的，得0.5分</w:t>
            </w:r>
          </w:p>
        </w:tc>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评审组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6.1.2法定代表人或受托人（应为非报备驻点人员，带委托书）定期现场对质量保证体系执行情况进行检查，见证资料完善</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每季度检查1次，得1分；</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每半年检查1次，得0.5分；</w:t>
            </w: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6.1.3定期对维保作业人员进行安全教育与培训，并建立和保存教育与培训记录档案</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有培训记录、签到表等印证资料的，得0.5分</w:t>
            </w: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6.1.4运用信息化手段记录相关维保信息和故障记录，并分析故障原因和故障率</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内容准确完善的，得0.5分</w:t>
            </w: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6.1.5维保单位主动在电梯轿厢等显著位置公示维护保养人员、维护保养周期、维护保养记录的</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公示内容齐全的，有照片等印证资料的，得1分</w:t>
            </w: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6.1.6各梯型的常用备件</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常备30种以上备件且备件总数量不少于300个，得1分</w:t>
            </w: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6.2社会职责</w:t>
            </w: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6.2.1维保单位能够主动走进社区、企业、学校、农村、家庭，开展电梯安全宣传</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有宣传见证资料的，得1分</w:t>
            </w: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6.2.2维保的电梯参加电梯安全责任保险</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参保比例达到70%以上，得1分；</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70%以上每增加10%，得0.5分</w:t>
            </w: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6.2.3得到新闻媒体正面报道</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县级报道每次，得0.5分；</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市级报道每次，得1分；</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最高不超过2分</w:t>
            </w: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6.3维保质量规模</w:t>
            </w: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6.3.1维保单位维保电梯数量</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超过200台的，得0.5分；</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超过400台的，得1分；</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超过600台的，得1.5分</w:t>
            </w: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575"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55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6.3.2检验一次性通过率</w:t>
            </w:r>
          </w:p>
        </w:tc>
        <w:tc>
          <w:tcPr>
            <w:tcW w:w="5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80%以上，每增加1%，得0.1分；</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85%及以上，每增加1%，得0.2分</w:t>
            </w: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434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备注：1.二级指标各项分数扣完为止；2.未按照附件9要求进行告知，由市局和区县局按附件9分工扣分；3.市局在现场检查中发现问题，由所在区县局进行扣分；4.加分项总加分不超过10分。</w:t>
            </w:r>
          </w:p>
        </w:tc>
      </w:tr>
    </w:tbl>
    <w:p>
      <w:pPr>
        <w:rPr>
          <w:rFonts w:hint="default" w:ascii="Times New Roman" w:hAnsi="Times New Roman" w:cs="Times New Roman"/>
          <w:szCs w:val="21"/>
        </w:rPr>
        <w:sectPr>
          <w:pgSz w:w="16840" w:h="11907" w:orient="landscape"/>
          <w:pgMar w:top="1440" w:right="1080" w:bottom="1440" w:left="1080" w:header="624" w:footer="1021" w:gutter="0"/>
          <w:pgBorders>
            <w:top w:val="none" w:sz="0" w:space="0"/>
            <w:left w:val="none" w:sz="0" w:space="0"/>
            <w:bottom w:val="none" w:sz="0" w:space="0"/>
            <w:right w:val="none" w:sz="0" w:space="0"/>
          </w:pgBorders>
          <w:pgNumType w:fmt="numberInDash"/>
          <w:cols w:space="425" w:num="1"/>
          <w:docGrid w:linePitch="608" w:charSpace="-432"/>
        </w:sectPr>
      </w:pPr>
    </w:p>
    <w:p>
      <w:pPr>
        <w:rPr>
          <w:rFonts w:hint="default" w:ascii="Times New Roman" w:hAnsi="Times New Roman" w:eastAsia="黑体" w:cs="Times New Roman"/>
          <w:sz w:val="28"/>
          <w:szCs w:val="28"/>
        </w:rPr>
      </w:pPr>
    </w:p>
    <w:p>
      <w:pP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附件2</w:t>
      </w:r>
    </w:p>
    <w:p>
      <w:pPr>
        <w:jc w:val="center"/>
        <w:rPr>
          <w:rFonts w:hint="default" w:ascii="Times New Roman" w:hAnsi="Times New Roman" w:cs="Times New Roman"/>
          <w:sz w:val="32"/>
          <w:szCs w:val="32"/>
        </w:rPr>
      </w:pPr>
    </w:p>
    <w:p>
      <w:pPr>
        <w:jc w:val="center"/>
        <w:rPr>
          <w:rFonts w:hint="default" w:ascii="Times New Roman" w:hAnsi="Times New Roman" w:cs="Times New Roman"/>
          <w:sz w:val="32"/>
          <w:szCs w:val="32"/>
        </w:rPr>
      </w:pPr>
    </w:p>
    <w:p>
      <w:pPr>
        <w:jc w:val="center"/>
        <w:rPr>
          <w:rFonts w:hint="default" w:ascii="Times New Roman" w:hAnsi="Times New Roman" w:cs="Times New Roman"/>
          <w:sz w:val="44"/>
          <w:szCs w:val="44"/>
        </w:rPr>
      </w:pPr>
      <w:r>
        <w:rPr>
          <w:rFonts w:hint="default" w:ascii="Times New Roman" w:hAnsi="Times New Roman" w:cs="Times New Roman"/>
          <w:sz w:val="44"/>
          <w:szCs w:val="44"/>
        </w:rPr>
        <w:t>乐山市电梯维保单位扣分通知单</w:t>
      </w:r>
    </w:p>
    <w:p>
      <w:pPr>
        <w:ind w:firstLine="1280" w:firstLineChars="400"/>
        <w:jc w:val="left"/>
        <w:rPr>
          <w:rFonts w:hint="default" w:ascii="Times New Roman" w:hAnsi="Times New Roman" w:cs="Times New Roman"/>
          <w:sz w:val="32"/>
          <w:szCs w:val="32"/>
        </w:rPr>
      </w:pPr>
    </w:p>
    <w:p>
      <w:pPr>
        <w:jc w:val="center"/>
        <w:rPr>
          <w:rFonts w:hint="default" w:ascii="Times New Roman" w:hAnsi="Times New Roman" w:cs="Times New Roman"/>
          <w:sz w:val="32"/>
          <w:szCs w:val="32"/>
        </w:rPr>
      </w:pPr>
      <w:r>
        <w:rPr>
          <w:rFonts w:hint="default" w:ascii="Times New Roman" w:hAnsi="Times New Roman" w:cs="Times New Roman"/>
          <w:sz w:val="32"/>
          <w:szCs w:val="32"/>
          <w:u w:val="single"/>
        </w:rPr>
        <w:t xml:space="preserve">    </w:t>
      </w:r>
      <w:r>
        <w:rPr>
          <w:rFonts w:hint="default" w:ascii="Times New Roman" w:hAnsi="Times New Roman" w:cs="Times New Roman"/>
          <w:sz w:val="32"/>
          <w:szCs w:val="32"/>
        </w:rPr>
        <w:t>（县、市、区）〔   〕</w:t>
      </w:r>
      <w:r>
        <w:rPr>
          <w:rFonts w:hint="default" w:ascii="Times New Roman" w:hAnsi="Times New Roman" w:cs="Times New Roman"/>
          <w:sz w:val="32"/>
          <w:szCs w:val="32"/>
          <w:u w:val="single"/>
        </w:rPr>
        <w:t xml:space="preserve">  </w:t>
      </w:r>
      <w:r>
        <w:rPr>
          <w:rFonts w:hint="default" w:ascii="Times New Roman" w:hAnsi="Times New Roman" w:cs="Times New Roman"/>
          <w:sz w:val="32"/>
          <w:szCs w:val="32"/>
        </w:rPr>
        <w:t>号</w:t>
      </w:r>
    </w:p>
    <w:p>
      <w:pPr>
        <w:rPr>
          <w:rFonts w:hint="default" w:ascii="Times New Roman" w:hAnsi="Times New Roman" w:cs="Times New Roman"/>
          <w:sz w:val="32"/>
          <w:szCs w:val="32"/>
        </w:rPr>
      </w:pPr>
      <w:r>
        <w:rPr>
          <w:rFonts w:hint="default" w:ascii="Times New Roman" w:hAnsi="Times New Roman" w:cs="Times New Roman"/>
          <w:sz w:val="32"/>
          <w:szCs w:val="32"/>
        </w:rPr>
        <w:t xml:space="preserve"> </w:t>
      </w:r>
    </w:p>
    <w:p>
      <w:pPr>
        <w:rPr>
          <w:rFonts w:hint="default" w:ascii="Times New Roman" w:hAnsi="Times New Roman" w:cs="Times New Roman"/>
          <w:sz w:val="32"/>
          <w:szCs w:val="32"/>
        </w:rPr>
      </w:pPr>
      <w:r>
        <w:rPr>
          <w:rFonts w:hint="default" w:ascii="Times New Roman" w:hAnsi="Times New Roman" w:cs="Times New Roman"/>
          <w:sz w:val="32"/>
          <w:szCs w:val="32"/>
          <w:u w:val="single"/>
        </w:rPr>
        <w:t xml:space="preserve">             </w:t>
      </w:r>
      <w:r>
        <w:rPr>
          <w:rFonts w:hint="default" w:ascii="Times New Roman" w:hAnsi="Times New Roman" w:cs="Times New Roman"/>
          <w:sz w:val="32"/>
          <w:szCs w:val="32"/>
        </w:rPr>
        <w:t xml:space="preserve"> ：</w:t>
      </w:r>
    </w:p>
    <w:p>
      <w:pPr>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我局监察人员在</w:t>
      </w:r>
      <w:r>
        <w:rPr>
          <w:rFonts w:hint="default" w:ascii="Times New Roman" w:hAnsi="Times New Roman" w:cs="Times New Roman"/>
          <w:sz w:val="32"/>
          <w:szCs w:val="32"/>
          <w:u w:val="single"/>
        </w:rPr>
        <w:t xml:space="preserve">              </w:t>
      </w:r>
      <w:r>
        <w:rPr>
          <w:rFonts w:hint="default" w:ascii="Times New Roman" w:hAnsi="Times New Roman" w:cs="Times New Roman"/>
          <w:sz w:val="32"/>
          <w:szCs w:val="32"/>
        </w:rPr>
        <w:t>时发现</w:t>
      </w:r>
      <w:r>
        <w:rPr>
          <w:rFonts w:hint="default" w:ascii="Times New Roman" w:hAnsi="Times New Roman" w:cs="Times New Roman"/>
          <w:sz w:val="32"/>
          <w:szCs w:val="32"/>
          <w:u w:val="single"/>
        </w:rPr>
        <w:t xml:space="preserve">             </w:t>
      </w:r>
      <w:r>
        <w:rPr>
          <w:rFonts w:hint="default" w:ascii="Times New Roman" w:hAnsi="Times New Roman" w:cs="Times New Roman"/>
          <w:sz w:val="32"/>
          <w:szCs w:val="32"/>
        </w:rPr>
        <w:t>单位存在符合《乐山市电梯维保单位质量信用评价评分细则》</w:t>
      </w:r>
      <w:r>
        <w:rPr>
          <w:rFonts w:hint="default" w:ascii="Times New Roman" w:hAnsi="Times New Roman" w:cs="Times New Roman"/>
          <w:sz w:val="32"/>
          <w:szCs w:val="32"/>
          <w:u w:val="single"/>
        </w:rPr>
        <w:t xml:space="preserve">  </w:t>
      </w:r>
      <w:r>
        <w:rPr>
          <w:rFonts w:hint="default" w:ascii="Times New Roman" w:hAnsi="Times New Roman" w:cs="Times New Roman"/>
          <w:sz w:val="32"/>
          <w:szCs w:val="32"/>
        </w:rPr>
        <w:t>项</w:t>
      </w:r>
      <w:r>
        <w:rPr>
          <w:rFonts w:hint="default" w:ascii="Times New Roman" w:hAnsi="Times New Roman" w:cs="Times New Roman"/>
          <w:sz w:val="32"/>
          <w:szCs w:val="32"/>
          <w:u w:val="single"/>
        </w:rPr>
        <w:t xml:space="preserve">  </w:t>
      </w:r>
      <w:r>
        <w:rPr>
          <w:rFonts w:hint="default" w:ascii="Times New Roman" w:hAnsi="Times New Roman" w:cs="Times New Roman"/>
          <w:sz w:val="32"/>
          <w:szCs w:val="32"/>
        </w:rPr>
        <w:t>条的情况，扣你单位</w:t>
      </w:r>
      <w:r>
        <w:rPr>
          <w:rFonts w:hint="default" w:ascii="Times New Roman" w:hAnsi="Times New Roman" w:cs="Times New Roman"/>
          <w:sz w:val="32"/>
          <w:szCs w:val="32"/>
          <w:u w:val="single"/>
        </w:rPr>
        <w:t xml:space="preserve">      </w:t>
      </w:r>
      <w:r>
        <w:rPr>
          <w:rFonts w:hint="default" w:ascii="Times New Roman" w:hAnsi="Times New Roman" w:cs="Times New Roman"/>
          <w:sz w:val="32"/>
          <w:szCs w:val="32"/>
        </w:rPr>
        <w:t>分，如有异议请于2个工作日内向我局申诉。</w:t>
      </w:r>
    </w:p>
    <w:p>
      <w:pPr>
        <w:rPr>
          <w:rFonts w:hint="default" w:ascii="Times New Roman" w:hAnsi="Times New Roman" w:cs="Times New Roman"/>
          <w:sz w:val="32"/>
          <w:szCs w:val="32"/>
        </w:rPr>
      </w:pPr>
      <w:r>
        <w:rPr>
          <w:rFonts w:hint="default" w:ascii="Times New Roman" w:hAnsi="Times New Roman" w:cs="Times New Roman"/>
          <w:sz w:val="32"/>
          <w:szCs w:val="32"/>
        </w:rPr>
        <w:t xml:space="preserve">   </w:t>
      </w:r>
    </w:p>
    <w:p>
      <w:pPr>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附：相关材料复印件</w:t>
      </w:r>
    </w:p>
    <w:p>
      <w:pPr>
        <w:rPr>
          <w:rFonts w:hint="default" w:ascii="Times New Roman" w:hAnsi="Times New Roman" w:cs="Times New Roman"/>
          <w:sz w:val="32"/>
          <w:szCs w:val="32"/>
        </w:rPr>
      </w:pPr>
      <w:r>
        <w:rPr>
          <w:rFonts w:hint="default" w:ascii="Times New Roman" w:hAnsi="Times New Roman" w:cs="Times New Roman"/>
          <w:sz w:val="32"/>
          <w:szCs w:val="32"/>
        </w:rPr>
        <w:t xml:space="preserve">                             </w:t>
      </w:r>
    </w:p>
    <w:p>
      <w:pPr>
        <w:rPr>
          <w:rFonts w:hint="default" w:ascii="Times New Roman" w:hAnsi="Times New Roman" w:cs="Times New Roman"/>
          <w:sz w:val="32"/>
          <w:szCs w:val="32"/>
        </w:rPr>
      </w:pPr>
    </w:p>
    <w:p>
      <w:pPr>
        <w:ind w:firstLine="5280" w:firstLineChars="1650"/>
        <w:rPr>
          <w:rFonts w:hint="default" w:ascii="Times New Roman" w:hAnsi="Times New Roman" w:cs="Times New Roman"/>
          <w:sz w:val="32"/>
          <w:szCs w:val="32"/>
        </w:rPr>
      </w:pPr>
      <w:r>
        <w:rPr>
          <w:rFonts w:hint="default" w:ascii="Times New Roman" w:hAnsi="Times New Roman" w:cs="Times New Roman"/>
          <w:sz w:val="32"/>
          <w:szCs w:val="32"/>
        </w:rPr>
        <w:t>单位（盖章）</w:t>
      </w:r>
    </w:p>
    <w:p>
      <w:pPr>
        <w:rPr>
          <w:rFonts w:hint="default" w:ascii="Times New Roman" w:hAnsi="Times New Roman" w:cs="Times New Roman"/>
          <w:sz w:val="32"/>
          <w:szCs w:val="32"/>
        </w:rPr>
      </w:pPr>
      <w:r>
        <w:rPr>
          <w:rFonts w:hint="default" w:ascii="Times New Roman" w:hAnsi="Times New Roman" w:cs="Times New Roman"/>
          <w:sz w:val="32"/>
          <w:szCs w:val="32"/>
        </w:rPr>
        <w:t xml:space="preserve">                            </w:t>
      </w:r>
    </w:p>
    <w:p>
      <w:pPr>
        <w:ind w:firstLine="5600" w:firstLineChars="1750"/>
        <w:rPr>
          <w:rFonts w:hint="default" w:ascii="Times New Roman" w:hAnsi="Times New Roman" w:cs="Times New Roman"/>
          <w:sz w:val="32"/>
          <w:szCs w:val="32"/>
        </w:rPr>
      </w:pPr>
      <w:r>
        <w:rPr>
          <w:rFonts w:hint="default" w:ascii="Times New Roman" w:hAnsi="Times New Roman" w:cs="Times New Roman"/>
          <w:sz w:val="32"/>
          <w:szCs w:val="32"/>
        </w:rPr>
        <w:t>年    月    日</w:t>
      </w:r>
    </w:p>
    <w:p>
      <w:pPr>
        <w:rPr>
          <w:rFonts w:hint="default" w:ascii="Times New Roman" w:hAnsi="Times New Roman" w:cs="Times New Roman"/>
          <w:sz w:val="32"/>
          <w:szCs w:val="32"/>
        </w:rPr>
      </w:pPr>
    </w:p>
    <w:p>
      <w:pPr>
        <w:rPr>
          <w:rFonts w:hint="default" w:ascii="Times New Roman" w:hAnsi="Times New Roman" w:cs="Times New Roman"/>
          <w:sz w:val="32"/>
          <w:szCs w:val="32"/>
        </w:rPr>
        <w:sectPr>
          <w:pgSz w:w="11907" w:h="16840"/>
          <w:pgMar w:top="1440" w:right="1080" w:bottom="1440" w:left="1080" w:header="624" w:footer="1021" w:gutter="0"/>
          <w:pgBorders>
            <w:top w:val="none" w:sz="0" w:space="0"/>
            <w:left w:val="none" w:sz="0" w:space="0"/>
            <w:bottom w:val="none" w:sz="0" w:space="0"/>
            <w:right w:val="none" w:sz="0" w:space="0"/>
          </w:pgBorders>
          <w:pgNumType w:fmt="numberInDash"/>
          <w:cols w:space="425" w:num="1"/>
          <w:docGrid w:linePitch="608" w:charSpace="-432"/>
        </w:sectPr>
      </w:pPr>
    </w:p>
    <w:tbl>
      <w:tblPr>
        <w:tblStyle w:val="8"/>
        <w:tblW w:w="13492" w:type="dxa"/>
        <w:jc w:val="center"/>
        <w:tblLayout w:type="autofit"/>
        <w:tblCellMar>
          <w:top w:w="0" w:type="dxa"/>
          <w:left w:w="108" w:type="dxa"/>
          <w:bottom w:w="0" w:type="dxa"/>
          <w:right w:w="108" w:type="dxa"/>
        </w:tblCellMar>
      </w:tblPr>
      <w:tblGrid>
        <w:gridCol w:w="824"/>
        <w:gridCol w:w="2131"/>
        <w:gridCol w:w="1838"/>
        <w:gridCol w:w="3118"/>
        <w:gridCol w:w="2835"/>
        <w:gridCol w:w="1843"/>
        <w:gridCol w:w="903"/>
      </w:tblGrid>
      <w:tr>
        <w:tblPrEx>
          <w:tblCellMar>
            <w:top w:w="0" w:type="dxa"/>
            <w:left w:w="108" w:type="dxa"/>
            <w:bottom w:w="0" w:type="dxa"/>
            <w:right w:w="108" w:type="dxa"/>
          </w:tblCellMar>
        </w:tblPrEx>
        <w:trPr>
          <w:trHeight w:val="510" w:hRule="atLeast"/>
          <w:jc w:val="center"/>
        </w:trPr>
        <w:tc>
          <w:tcPr>
            <w:tcW w:w="2955" w:type="dxa"/>
            <w:gridSpan w:val="2"/>
            <w:tcBorders>
              <w:top w:val="nil"/>
              <w:left w:val="nil"/>
              <w:bottom w:val="nil"/>
              <w:right w:val="nil"/>
            </w:tcBorders>
            <w:shd w:val="clear" w:color="auto" w:fill="auto"/>
            <w:noWrap/>
            <w:vAlign w:val="center"/>
          </w:tcPr>
          <w:p>
            <w:pP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附件3</w:t>
            </w:r>
          </w:p>
        </w:tc>
        <w:tc>
          <w:tcPr>
            <w:tcW w:w="1838" w:type="dxa"/>
            <w:tcBorders>
              <w:top w:val="nil"/>
              <w:left w:val="nil"/>
              <w:bottom w:val="nil"/>
              <w:right w:val="nil"/>
            </w:tcBorders>
            <w:shd w:val="clear" w:color="auto" w:fill="auto"/>
            <w:noWrap/>
            <w:vAlign w:val="center"/>
          </w:tcPr>
          <w:p>
            <w:pPr>
              <w:rPr>
                <w:rFonts w:hint="default" w:ascii="Times New Roman" w:hAnsi="Times New Roman" w:eastAsia="黑体" w:cs="Times New Roman"/>
                <w:sz w:val="28"/>
                <w:szCs w:val="28"/>
              </w:rPr>
            </w:pPr>
          </w:p>
        </w:tc>
        <w:tc>
          <w:tcPr>
            <w:tcW w:w="3118" w:type="dxa"/>
            <w:tcBorders>
              <w:top w:val="nil"/>
              <w:left w:val="nil"/>
              <w:bottom w:val="nil"/>
              <w:right w:val="nil"/>
            </w:tcBorders>
            <w:shd w:val="clear" w:color="auto" w:fill="auto"/>
            <w:noWrap/>
            <w:vAlign w:val="center"/>
          </w:tcPr>
          <w:p>
            <w:pPr>
              <w:rPr>
                <w:rFonts w:hint="default" w:ascii="Times New Roman" w:hAnsi="Times New Roman" w:eastAsia="黑体" w:cs="Times New Roman"/>
                <w:sz w:val="28"/>
                <w:szCs w:val="28"/>
              </w:rPr>
            </w:pPr>
          </w:p>
        </w:tc>
        <w:tc>
          <w:tcPr>
            <w:tcW w:w="4678" w:type="dxa"/>
            <w:gridSpan w:val="2"/>
            <w:tcBorders>
              <w:top w:val="nil"/>
              <w:left w:val="nil"/>
              <w:bottom w:val="nil"/>
              <w:right w:val="nil"/>
            </w:tcBorders>
            <w:shd w:val="clear" w:color="auto" w:fill="auto"/>
            <w:noWrap/>
            <w:vAlign w:val="center"/>
          </w:tcPr>
          <w:p>
            <w:pPr>
              <w:rPr>
                <w:rFonts w:hint="default" w:ascii="Times New Roman" w:hAnsi="Times New Roman" w:eastAsia="黑体" w:cs="Times New Roman"/>
                <w:sz w:val="28"/>
                <w:szCs w:val="28"/>
              </w:rPr>
            </w:pPr>
          </w:p>
        </w:tc>
        <w:tc>
          <w:tcPr>
            <w:tcW w:w="903" w:type="dxa"/>
            <w:tcBorders>
              <w:top w:val="nil"/>
              <w:left w:val="nil"/>
              <w:bottom w:val="nil"/>
              <w:right w:val="nil"/>
            </w:tcBorders>
            <w:shd w:val="clear" w:color="auto" w:fill="auto"/>
            <w:noWrap/>
            <w:vAlign w:val="center"/>
          </w:tcPr>
          <w:p>
            <w:pPr>
              <w:rPr>
                <w:rFonts w:hint="default" w:ascii="Times New Roman" w:hAnsi="Times New Roman" w:eastAsia="黑体" w:cs="Times New Roman"/>
                <w:sz w:val="28"/>
                <w:szCs w:val="28"/>
              </w:rPr>
            </w:pPr>
          </w:p>
        </w:tc>
      </w:tr>
      <w:tr>
        <w:tblPrEx>
          <w:tblCellMar>
            <w:top w:w="0" w:type="dxa"/>
            <w:left w:w="108" w:type="dxa"/>
            <w:bottom w:w="0" w:type="dxa"/>
            <w:right w:w="108" w:type="dxa"/>
          </w:tblCellMar>
        </w:tblPrEx>
        <w:trPr>
          <w:trHeight w:val="540" w:hRule="atLeast"/>
          <w:jc w:val="center"/>
        </w:trPr>
        <w:tc>
          <w:tcPr>
            <w:tcW w:w="13492" w:type="dxa"/>
            <w:gridSpan w:val="7"/>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eastAsia="方正小标宋_GBK" w:cs="Times New Roman"/>
                <w:color w:val="000000"/>
                <w:kern w:val="0"/>
                <w:sz w:val="40"/>
                <w:szCs w:val="40"/>
              </w:rPr>
            </w:pPr>
            <w:r>
              <w:rPr>
                <w:rFonts w:hint="default" w:ascii="Times New Roman" w:hAnsi="Times New Roman" w:eastAsia="方正小标宋_GBK" w:cs="Times New Roman"/>
                <w:color w:val="000000"/>
                <w:kern w:val="0"/>
                <w:sz w:val="40"/>
                <w:szCs w:val="40"/>
              </w:rPr>
              <w:t>乐山市电梯维保单位扣分登记表</w:t>
            </w:r>
          </w:p>
          <w:p>
            <w:pPr>
              <w:widowControl/>
              <w:jc w:val="left"/>
              <w:rPr>
                <w:rFonts w:hint="default" w:ascii="Times New Roman" w:hAnsi="Times New Roman" w:cs="Times New Roman"/>
                <w:color w:val="000000"/>
                <w:kern w:val="0"/>
                <w:sz w:val="28"/>
                <w:szCs w:val="28"/>
              </w:rPr>
            </w:pPr>
            <w:r>
              <w:rPr>
                <w:rFonts w:hint="default" w:ascii="Times New Roman" w:hAnsi="Times New Roman" w:cs="Times New Roman"/>
                <w:color w:val="000000"/>
                <w:kern w:val="0"/>
                <w:sz w:val="28"/>
                <w:szCs w:val="28"/>
              </w:rPr>
              <w:t>单位：（盖章）</w:t>
            </w:r>
          </w:p>
        </w:tc>
      </w:tr>
      <w:tr>
        <w:tblPrEx>
          <w:tblCellMar>
            <w:top w:w="0" w:type="dxa"/>
            <w:left w:w="108" w:type="dxa"/>
            <w:bottom w:w="0" w:type="dxa"/>
            <w:right w:w="108" w:type="dxa"/>
          </w:tblCellMar>
        </w:tblPrEx>
        <w:trPr>
          <w:trHeight w:val="600"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序号</w:t>
            </w:r>
          </w:p>
        </w:tc>
        <w:tc>
          <w:tcPr>
            <w:tcW w:w="2131"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日期</w:t>
            </w:r>
          </w:p>
        </w:tc>
        <w:tc>
          <w:tcPr>
            <w:tcW w:w="183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所在区县</w:t>
            </w:r>
          </w:p>
        </w:tc>
        <w:tc>
          <w:tcPr>
            <w:tcW w:w="311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维保单位名称</w:t>
            </w:r>
          </w:p>
        </w:tc>
        <w:tc>
          <w:tcPr>
            <w:tcW w:w="2835"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扣分情况说明</w:t>
            </w:r>
          </w:p>
        </w:tc>
        <w:tc>
          <w:tcPr>
            <w:tcW w:w="1843" w:type="dxa"/>
            <w:tcBorders>
              <w:top w:val="nil"/>
              <w:left w:val="nil"/>
              <w:bottom w:val="single" w:color="auto" w:sz="4" w:space="0"/>
              <w:right w:val="single" w:color="auto" w:sz="4" w:space="0"/>
            </w:tcBorders>
            <w:shd w:val="clear" w:color="auto" w:fill="auto"/>
            <w:vAlign w:val="center"/>
          </w:tcPr>
          <w:p>
            <w:pPr>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通知书编号</w:t>
            </w:r>
          </w:p>
        </w:tc>
        <w:tc>
          <w:tcPr>
            <w:tcW w:w="90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扣分</w:t>
            </w:r>
          </w:p>
        </w:tc>
      </w:tr>
      <w:tr>
        <w:tblPrEx>
          <w:tblCellMar>
            <w:top w:w="0" w:type="dxa"/>
            <w:left w:w="108" w:type="dxa"/>
            <w:bottom w:w="0" w:type="dxa"/>
            <w:right w:w="108" w:type="dxa"/>
          </w:tblCellMar>
        </w:tblPrEx>
        <w:trPr>
          <w:trHeight w:val="600"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2131"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183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311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90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r>
      <w:tr>
        <w:tblPrEx>
          <w:tblCellMar>
            <w:top w:w="0" w:type="dxa"/>
            <w:left w:w="108" w:type="dxa"/>
            <w:bottom w:w="0" w:type="dxa"/>
            <w:right w:w="108" w:type="dxa"/>
          </w:tblCellMar>
        </w:tblPrEx>
        <w:trPr>
          <w:trHeight w:val="600"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2131"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183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311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90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r>
      <w:tr>
        <w:tblPrEx>
          <w:tblCellMar>
            <w:top w:w="0" w:type="dxa"/>
            <w:left w:w="108" w:type="dxa"/>
            <w:bottom w:w="0" w:type="dxa"/>
            <w:right w:w="108" w:type="dxa"/>
          </w:tblCellMar>
        </w:tblPrEx>
        <w:trPr>
          <w:trHeight w:val="600"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2131"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183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311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90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r>
      <w:tr>
        <w:tblPrEx>
          <w:tblCellMar>
            <w:top w:w="0" w:type="dxa"/>
            <w:left w:w="108" w:type="dxa"/>
            <w:bottom w:w="0" w:type="dxa"/>
            <w:right w:w="108" w:type="dxa"/>
          </w:tblCellMar>
        </w:tblPrEx>
        <w:trPr>
          <w:trHeight w:val="600"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2131"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183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311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90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r>
      <w:tr>
        <w:tblPrEx>
          <w:tblCellMar>
            <w:top w:w="0" w:type="dxa"/>
            <w:left w:w="108" w:type="dxa"/>
            <w:bottom w:w="0" w:type="dxa"/>
            <w:right w:w="108" w:type="dxa"/>
          </w:tblCellMar>
        </w:tblPrEx>
        <w:trPr>
          <w:trHeight w:val="600"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2131"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183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311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90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r>
      <w:tr>
        <w:tblPrEx>
          <w:tblCellMar>
            <w:top w:w="0" w:type="dxa"/>
            <w:left w:w="108" w:type="dxa"/>
            <w:bottom w:w="0" w:type="dxa"/>
            <w:right w:w="108" w:type="dxa"/>
          </w:tblCellMar>
        </w:tblPrEx>
        <w:trPr>
          <w:trHeight w:val="600"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2131"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183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311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90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r>
      <w:tr>
        <w:tblPrEx>
          <w:tblCellMar>
            <w:top w:w="0" w:type="dxa"/>
            <w:left w:w="108" w:type="dxa"/>
            <w:bottom w:w="0" w:type="dxa"/>
            <w:right w:w="108" w:type="dxa"/>
          </w:tblCellMar>
        </w:tblPrEx>
        <w:trPr>
          <w:trHeight w:val="600"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2131"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183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311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90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r>
      <w:tr>
        <w:tblPrEx>
          <w:tblCellMar>
            <w:top w:w="0" w:type="dxa"/>
            <w:left w:w="108" w:type="dxa"/>
            <w:bottom w:w="0" w:type="dxa"/>
            <w:right w:w="108" w:type="dxa"/>
          </w:tblCellMar>
        </w:tblPrEx>
        <w:trPr>
          <w:trHeight w:val="600"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2131"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183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311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90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r>
      <w:tr>
        <w:tblPrEx>
          <w:tblCellMar>
            <w:top w:w="0" w:type="dxa"/>
            <w:left w:w="108" w:type="dxa"/>
            <w:bottom w:w="0" w:type="dxa"/>
            <w:right w:w="108" w:type="dxa"/>
          </w:tblCellMar>
        </w:tblPrEx>
        <w:trPr>
          <w:trHeight w:val="600" w:hRule="atLeast"/>
          <w:jc w:val="center"/>
        </w:trPr>
        <w:tc>
          <w:tcPr>
            <w:tcW w:w="82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2131"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183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color w:val="000000"/>
                <w:kern w:val="0"/>
                <w:sz w:val="22"/>
                <w:szCs w:val="22"/>
              </w:rPr>
            </w:pPr>
          </w:p>
        </w:tc>
        <w:tc>
          <w:tcPr>
            <w:tcW w:w="311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283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c>
          <w:tcPr>
            <w:tcW w:w="90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 w:val="32"/>
                <w:szCs w:val="32"/>
              </w:rPr>
            </w:pPr>
          </w:p>
        </w:tc>
      </w:tr>
      <w:tr>
        <w:tblPrEx>
          <w:tblCellMar>
            <w:top w:w="0" w:type="dxa"/>
            <w:left w:w="108" w:type="dxa"/>
            <w:bottom w:w="0" w:type="dxa"/>
            <w:right w:w="108" w:type="dxa"/>
          </w:tblCellMar>
        </w:tblPrEx>
        <w:trPr>
          <w:trHeight w:val="675" w:hRule="atLeast"/>
          <w:jc w:val="center"/>
        </w:trPr>
        <w:tc>
          <w:tcPr>
            <w:tcW w:w="13492" w:type="dxa"/>
            <w:gridSpan w:val="7"/>
            <w:tcBorders>
              <w:top w:val="nil"/>
              <w:left w:val="single" w:color="auto" w:sz="4" w:space="0"/>
              <w:bottom w:val="single" w:color="auto" w:sz="4" w:space="0"/>
              <w:right w:val="single" w:color="000000" w:sz="4" w:space="0"/>
            </w:tcBorders>
            <w:shd w:val="clear" w:color="auto" w:fill="auto"/>
            <w:vAlign w:val="center"/>
          </w:tcPr>
          <w:p>
            <w:pPr>
              <w:spacing w:line="280" w:lineRule="exact"/>
              <w:rPr>
                <w:rFonts w:hint="default" w:ascii="Times New Roman" w:hAnsi="Times New Roman" w:cs="Times New Roman"/>
                <w:color w:val="000000"/>
                <w:kern w:val="0"/>
                <w:sz w:val="32"/>
                <w:szCs w:val="32"/>
              </w:rPr>
            </w:pPr>
            <w:r>
              <w:rPr>
                <w:rFonts w:hint="default" w:ascii="Times New Roman" w:hAnsi="Times New Roman" w:eastAsia="黑体" w:cs="Times New Roman"/>
              </w:rPr>
              <w:t>备注：扣分情况说明写清楚条款。</w:t>
            </w:r>
          </w:p>
        </w:tc>
      </w:tr>
    </w:tbl>
    <w:p>
      <w:pPr>
        <w:ind w:firstLine="160" w:firstLineChars="50"/>
        <w:rPr>
          <w:rFonts w:hint="default" w:ascii="Times New Roman" w:hAnsi="Times New Roman" w:cs="Times New Roman"/>
          <w:sz w:val="32"/>
          <w:szCs w:val="32"/>
        </w:rPr>
        <w:sectPr>
          <w:type w:val="continuous"/>
          <w:pgSz w:w="16840" w:h="11907" w:orient="landscape"/>
          <w:pgMar w:top="1440" w:right="1080" w:bottom="1440" w:left="1080" w:header="624" w:footer="1021" w:gutter="0"/>
          <w:pgBorders>
            <w:top w:val="none" w:sz="0" w:space="0"/>
            <w:left w:val="none" w:sz="0" w:space="0"/>
            <w:bottom w:val="none" w:sz="0" w:space="0"/>
            <w:right w:val="none" w:sz="0" w:space="0"/>
          </w:pgBorders>
          <w:pgNumType w:fmt="numberInDash"/>
          <w:cols w:space="425" w:num="1"/>
          <w:docGrid w:linePitch="608" w:charSpace="-432"/>
        </w:sectPr>
      </w:pPr>
    </w:p>
    <w:p>
      <w:pPr>
        <w:rPr>
          <w:rFonts w:hint="default" w:ascii="Times New Roman" w:hAnsi="Times New Roman" w:eastAsia="黑体" w:cs="Times New Roman"/>
          <w:sz w:val="28"/>
          <w:szCs w:val="28"/>
        </w:rPr>
        <w:sectPr>
          <w:type w:val="continuous"/>
          <w:pgSz w:w="16840" w:h="11907" w:orient="landscape"/>
          <w:pgMar w:top="1440" w:right="1080" w:bottom="1440" w:left="1080" w:header="624" w:footer="1021" w:gutter="0"/>
          <w:pgBorders>
            <w:top w:val="none" w:sz="0" w:space="0"/>
            <w:left w:val="none" w:sz="0" w:space="0"/>
            <w:bottom w:val="none" w:sz="0" w:space="0"/>
            <w:right w:val="none" w:sz="0" w:space="0"/>
          </w:pgBorders>
          <w:cols w:space="425" w:num="1"/>
          <w:docGrid w:linePitch="608" w:charSpace="-432"/>
        </w:sectPr>
      </w:pPr>
    </w:p>
    <w:p>
      <w:pPr>
        <w:ind w:firstLine="560" w:firstLineChars="200"/>
        <w:rPr>
          <w:rFonts w:hint="default" w:ascii="Times New Roman" w:hAnsi="Times New Roman" w:eastAsia="黑体" w:cs="Times New Roman"/>
          <w:sz w:val="28"/>
          <w:szCs w:val="28"/>
        </w:rPr>
      </w:pPr>
      <w:r>
        <w:rPr>
          <w:rFonts w:hint="default" w:ascii="Times New Roman" w:hAnsi="Times New Roman" w:eastAsia="黑体" w:cs="Times New Roman"/>
          <w:strike w:val="0"/>
          <w:dstrike w:val="0"/>
          <w:sz w:val="28"/>
          <w:szCs w:val="28"/>
        </w:rPr>
        <w:t>附件4</w:t>
      </w:r>
    </w:p>
    <w:p>
      <w:pPr>
        <w:widowControl/>
        <w:jc w:val="center"/>
        <w:rPr>
          <w:rFonts w:hint="default" w:ascii="Times New Roman" w:hAnsi="Times New Roman" w:eastAsia="方正小标宋_GBK" w:cs="Times New Roman"/>
          <w:color w:val="000000"/>
          <w:kern w:val="0"/>
          <w:sz w:val="40"/>
          <w:szCs w:val="40"/>
        </w:rPr>
      </w:pPr>
      <w:r>
        <w:rPr>
          <w:rFonts w:hint="default" w:ascii="Times New Roman" w:hAnsi="Times New Roman" w:eastAsia="方正小标宋_GBK" w:cs="Times New Roman"/>
          <w:color w:val="000000"/>
          <w:kern w:val="0"/>
          <w:sz w:val="40"/>
          <w:szCs w:val="40"/>
        </w:rPr>
        <w:t>____年度电梯定期检验信息统计表</w:t>
      </w:r>
    </w:p>
    <w:p>
      <w:pPr>
        <w:ind w:firstLine="840" w:firstLineChars="300"/>
        <w:rPr>
          <w:rFonts w:hint="default" w:ascii="Times New Roman" w:hAnsi="Times New Roman" w:cs="Times New Roman"/>
          <w:sz w:val="32"/>
          <w:szCs w:val="32"/>
        </w:rPr>
      </w:pPr>
      <w:r>
        <w:rPr>
          <w:rFonts w:hint="default" w:ascii="Times New Roman" w:hAnsi="Times New Roman" w:cs="Times New Roman"/>
          <w:color w:val="000000"/>
          <w:kern w:val="0"/>
          <w:sz w:val="28"/>
          <w:szCs w:val="28"/>
        </w:rPr>
        <w:t>单位：（盖章）</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4801"/>
        <w:gridCol w:w="1560"/>
        <w:gridCol w:w="1560"/>
        <w:gridCol w:w="2584"/>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71" w:type="dxa"/>
            <w:vAlign w:val="center"/>
          </w:tcPr>
          <w:p>
            <w:pPr>
              <w:jc w:val="center"/>
              <w:rPr>
                <w:rFonts w:hint="default" w:ascii="Times New Roman" w:hAnsi="Times New Roman" w:eastAsia="黑体" w:cs="Times New Roman"/>
                <w:sz w:val="24"/>
              </w:rPr>
            </w:pPr>
            <w:r>
              <w:rPr>
                <w:rFonts w:hint="default" w:ascii="Times New Roman" w:hAnsi="Times New Roman" w:eastAsia="黑体" w:cs="Times New Roman"/>
                <w:sz w:val="24"/>
              </w:rPr>
              <w:t>序号</w:t>
            </w:r>
          </w:p>
        </w:tc>
        <w:tc>
          <w:tcPr>
            <w:tcW w:w="4801" w:type="dxa"/>
            <w:vAlign w:val="center"/>
          </w:tcPr>
          <w:p>
            <w:pPr>
              <w:jc w:val="center"/>
              <w:rPr>
                <w:rFonts w:hint="default" w:ascii="Times New Roman" w:hAnsi="Times New Roman" w:eastAsia="黑体" w:cs="Times New Roman"/>
                <w:sz w:val="24"/>
              </w:rPr>
            </w:pPr>
            <w:r>
              <w:rPr>
                <w:rFonts w:hint="default" w:ascii="Times New Roman" w:hAnsi="Times New Roman" w:eastAsia="黑体" w:cs="Times New Roman"/>
                <w:sz w:val="24"/>
              </w:rPr>
              <w:t>维保单位</w:t>
            </w:r>
          </w:p>
        </w:tc>
        <w:tc>
          <w:tcPr>
            <w:tcW w:w="1560" w:type="dxa"/>
            <w:vAlign w:val="center"/>
          </w:tcPr>
          <w:p>
            <w:pPr>
              <w:jc w:val="center"/>
              <w:rPr>
                <w:rFonts w:hint="default" w:ascii="Times New Roman" w:hAnsi="Times New Roman" w:eastAsia="黑体" w:cs="Times New Roman"/>
                <w:sz w:val="24"/>
              </w:rPr>
            </w:pPr>
            <w:r>
              <w:rPr>
                <w:rFonts w:hint="default" w:ascii="Times New Roman" w:hAnsi="Times New Roman" w:eastAsia="黑体" w:cs="Times New Roman"/>
                <w:sz w:val="24"/>
              </w:rPr>
              <w:t>自检报告不合格份（台）数</w:t>
            </w:r>
          </w:p>
        </w:tc>
        <w:tc>
          <w:tcPr>
            <w:tcW w:w="1560" w:type="dxa"/>
            <w:vAlign w:val="center"/>
          </w:tcPr>
          <w:p>
            <w:pPr>
              <w:jc w:val="center"/>
              <w:rPr>
                <w:rFonts w:hint="default" w:ascii="Times New Roman" w:hAnsi="Times New Roman" w:eastAsia="黑体" w:cs="Times New Roman"/>
                <w:sz w:val="24"/>
              </w:rPr>
            </w:pPr>
            <w:r>
              <w:rPr>
                <w:rFonts w:hint="default" w:ascii="Times New Roman" w:hAnsi="Times New Roman" w:eastAsia="黑体" w:cs="Times New Roman"/>
                <w:sz w:val="24"/>
              </w:rPr>
              <w:t>检验台数</w:t>
            </w:r>
          </w:p>
        </w:tc>
        <w:tc>
          <w:tcPr>
            <w:tcW w:w="2584" w:type="dxa"/>
            <w:vAlign w:val="center"/>
          </w:tcPr>
          <w:p>
            <w:pPr>
              <w:jc w:val="center"/>
              <w:rPr>
                <w:rFonts w:hint="default" w:ascii="Times New Roman" w:hAnsi="Times New Roman" w:eastAsia="黑体" w:cs="Times New Roman"/>
                <w:sz w:val="24"/>
              </w:rPr>
            </w:pPr>
            <w:r>
              <w:rPr>
                <w:rFonts w:hint="default" w:ascii="Times New Roman" w:hAnsi="Times New Roman" w:eastAsia="黑体" w:cs="Times New Roman"/>
                <w:sz w:val="24"/>
              </w:rPr>
              <w:t>初检不合格台数</w:t>
            </w:r>
          </w:p>
        </w:tc>
        <w:tc>
          <w:tcPr>
            <w:tcW w:w="1985" w:type="dxa"/>
            <w:vAlign w:val="center"/>
          </w:tcPr>
          <w:p>
            <w:pPr>
              <w:jc w:val="center"/>
              <w:rPr>
                <w:rFonts w:hint="default" w:ascii="Times New Roman" w:hAnsi="Times New Roman" w:eastAsia="黑体" w:cs="Times New Roman"/>
                <w:sz w:val="24"/>
              </w:rPr>
            </w:pPr>
            <w:r>
              <w:rPr>
                <w:rFonts w:hint="default" w:ascii="Times New Roman" w:hAnsi="Times New Roman" w:eastAsia="黑体" w:cs="Times New Roman"/>
                <w:sz w:val="24"/>
              </w:rPr>
              <w:t>未过率（%）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71" w:type="dxa"/>
            <w:vAlign w:val="center"/>
          </w:tcPr>
          <w:p>
            <w:pPr>
              <w:jc w:val="center"/>
              <w:rPr>
                <w:rFonts w:hint="default" w:ascii="Times New Roman" w:hAnsi="Times New Roman" w:eastAsia="方正仿宋简体" w:cs="Times New Roman"/>
                <w:sz w:val="32"/>
                <w:szCs w:val="32"/>
              </w:rPr>
            </w:pPr>
          </w:p>
        </w:tc>
        <w:tc>
          <w:tcPr>
            <w:tcW w:w="4801" w:type="dxa"/>
            <w:vAlign w:val="center"/>
          </w:tcPr>
          <w:p>
            <w:pPr>
              <w:jc w:val="center"/>
              <w:rPr>
                <w:rFonts w:hint="default" w:ascii="Times New Roman" w:hAnsi="Times New Roman" w:eastAsia="方正仿宋简体" w:cs="Times New Roman"/>
                <w:sz w:val="32"/>
                <w:szCs w:val="32"/>
              </w:rPr>
            </w:pPr>
          </w:p>
        </w:tc>
        <w:tc>
          <w:tcPr>
            <w:tcW w:w="1560" w:type="dxa"/>
            <w:vAlign w:val="center"/>
          </w:tcPr>
          <w:p>
            <w:pPr>
              <w:jc w:val="center"/>
              <w:rPr>
                <w:rFonts w:hint="default" w:ascii="Times New Roman" w:hAnsi="Times New Roman" w:eastAsia="方正仿宋简体" w:cs="Times New Roman"/>
                <w:sz w:val="32"/>
                <w:szCs w:val="32"/>
              </w:rPr>
            </w:pPr>
          </w:p>
        </w:tc>
        <w:tc>
          <w:tcPr>
            <w:tcW w:w="1560" w:type="dxa"/>
            <w:vAlign w:val="center"/>
          </w:tcPr>
          <w:p>
            <w:pPr>
              <w:jc w:val="center"/>
              <w:rPr>
                <w:rFonts w:hint="default" w:ascii="Times New Roman" w:hAnsi="Times New Roman" w:eastAsia="方正仿宋简体" w:cs="Times New Roman"/>
                <w:sz w:val="32"/>
                <w:szCs w:val="32"/>
              </w:rPr>
            </w:pPr>
          </w:p>
        </w:tc>
        <w:tc>
          <w:tcPr>
            <w:tcW w:w="2584" w:type="dxa"/>
            <w:vAlign w:val="center"/>
          </w:tcPr>
          <w:p>
            <w:pPr>
              <w:jc w:val="center"/>
              <w:rPr>
                <w:rFonts w:hint="default" w:ascii="Times New Roman" w:hAnsi="Times New Roman" w:eastAsia="方正仿宋简体" w:cs="Times New Roman"/>
                <w:sz w:val="32"/>
                <w:szCs w:val="32"/>
              </w:rPr>
            </w:pPr>
          </w:p>
        </w:tc>
        <w:tc>
          <w:tcPr>
            <w:tcW w:w="1985" w:type="dxa"/>
            <w:vAlign w:val="center"/>
          </w:tcPr>
          <w:p>
            <w:pPr>
              <w:jc w:val="center"/>
              <w:rPr>
                <w:rFonts w:hint="default" w:ascii="Times New Roman" w:hAnsi="Times New Roman" w:eastAsia="方正仿宋简体"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71" w:type="dxa"/>
            <w:vAlign w:val="center"/>
          </w:tcPr>
          <w:p>
            <w:pPr>
              <w:jc w:val="center"/>
              <w:rPr>
                <w:rFonts w:hint="default" w:ascii="Times New Roman" w:hAnsi="Times New Roman" w:eastAsia="方正仿宋简体" w:cs="Times New Roman"/>
                <w:sz w:val="32"/>
                <w:szCs w:val="32"/>
              </w:rPr>
            </w:pPr>
          </w:p>
        </w:tc>
        <w:tc>
          <w:tcPr>
            <w:tcW w:w="4801" w:type="dxa"/>
            <w:vAlign w:val="center"/>
          </w:tcPr>
          <w:p>
            <w:pPr>
              <w:jc w:val="center"/>
              <w:rPr>
                <w:rFonts w:hint="default" w:ascii="Times New Roman" w:hAnsi="Times New Roman" w:eastAsia="方正仿宋简体" w:cs="Times New Roman"/>
                <w:sz w:val="32"/>
                <w:szCs w:val="32"/>
              </w:rPr>
            </w:pPr>
          </w:p>
        </w:tc>
        <w:tc>
          <w:tcPr>
            <w:tcW w:w="1560" w:type="dxa"/>
            <w:vAlign w:val="center"/>
          </w:tcPr>
          <w:p>
            <w:pPr>
              <w:jc w:val="center"/>
              <w:rPr>
                <w:rFonts w:hint="default" w:ascii="Times New Roman" w:hAnsi="Times New Roman" w:eastAsia="方正仿宋简体" w:cs="Times New Roman"/>
                <w:sz w:val="32"/>
                <w:szCs w:val="32"/>
              </w:rPr>
            </w:pPr>
          </w:p>
        </w:tc>
        <w:tc>
          <w:tcPr>
            <w:tcW w:w="1560" w:type="dxa"/>
            <w:vAlign w:val="center"/>
          </w:tcPr>
          <w:p>
            <w:pPr>
              <w:jc w:val="center"/>
              <w:rPr>
                <w:rFonts w:hint="default" w:ascii="Times New Roman" w:hAnsi="Times New Roman" w:eastAsia="方正仿宋简体" w:cs="Times New Roman"/>
                <w:sz w:val="32"/>
                <w:szCs w:val="32"/>
              </w:rPr>
            </w:pPr>
          </w:p>
        </w:tc>
        <w:tc>
          <w:tcPr>
            <w:tcW w:w="2584" w:type="dxa"/>
            <w:vAlign w:val="center"/>
          </w:tcPr>
          <w:p>
            <w:pPr>
              <w:jc w:val="center"/>
              <w:rPr>
                <w:rFonts w:hint="default" w:ascii="Times New Roman" w:hAnsi="Times New Roman" w:eastAsia="方正仿宋简体" w:cs="Times New Roman"/>
                <w:sz w:val="32"/>
                <w:szCs w:val="32"/>
              </w:rPr>
            </w:pPr>
          </w:p>
        </w:tc>
        <w:tc>
          <w:tcPr>
            <w:tcW w:w="1985" w:type="dxa"/>
            <w:vAlign w:val="center"/>
          </w:tcPr>
          <w:p>
            <w:pPr>
              <w:jc w:val="center"/>
              <w:rPr>
                <w:rFonts w:hint="default" w:ascii="Times New Roman" w:hAnsi="Times New Roman" w:eastAsia="方正仿宋简体"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71" w:type="dxa"/>
            <w:vAlign w:val="center"/>
          </w:tcPr>
          <w:p>
            <w:pPr>
              <w:jc w:val="center"/>
              <w:rPr>
                <w:rFonts w:hint="default" w:ascii="Times New Roman" w:hAnsi="Times New Roman" w:eastAsia="方正仿宋简体" w:cs="Times New Roman"/>
                <w:sz w:val="32"/>
                <w:szCs w:val="32"/>
              </w:rPr>
            </w:pPr>
          </w:p>
        </w:tc>
        <w:tc>
          <w:tcPr>
            <w:tcW w:w="4801" w:type="dxa"/>
            <w:vAlign w:val="center"/>
          </w:tcPr>
          <w:p>
            <w:pPr>
              <w:jc w:val="center"/>
              <w:rPr>
                <w:rFonts w:hint="default" w:ascii="Times New Roman" w:hAnsi="Times New Roman" w:eastAsia="方正仿宋简体" w:cs="Times New Roman"/>
                <w:sz w:val="32"/>
                <w:szCs w:val="32"/>
              </w:rPr>
            </w:pPr>
          </w:p>
        </w:tc>
        <w:tc>
          <w:tcPr>
            <w:tcW w:w="1560" w:type="dxa"/>
            <w:vAlign w:val="center"/>
          </w:tcPr>
          <w:p>
            <w:pPr>
              <w:jc w:val="center"/>
              <w:rPr>
                <w:rFonts w:hint="default" w:ascii="Times New Roman" w:hAnsi="Times New Roman" w:eastAsia="方正仿宋简体" w:cs="Times New Roman"/>
                <w:sz w:val="32"/>
                <w:szCs w:val="32"/>
              </w:rPr>
            </w:pPr>
          </w:p>
        </w:tc>
        <w:tc>
          <w:tcPr>
            <w:tcW w:w="1560" w:type="dxa"/>
            <w:vAlign w:val="center"/>
          </w:tcPr>
          <w:p>
            <w:pPr>
              <w:jc w:val="center"/>
              <w:rPr>
                <w:rFonts w:hint="default" w:ascii="Times New Roman" w:hAnsi="Times New Roman" w:eastAsia="方正仿宋简体" w:cs="Times New Roman"/>
                <w:sz w:val="32"/>
                <w:szCs w:val="32"/>
              </w:rPr>
            </w:pPr>
          </w:p>
        </w:tc>
        <w:tc>
          <w:tcPr>
            <w:tcW w:w="2584" w:type="dxa"/>
            <w:vAlign w:val="center"/>
          </w:tcPr>
          <w:p>
            <w:pPr>
              <w:jc w:val="center"/>
              <w:rPr>
                <w:rFonts w:hint="default" w:ascii="Times New Roman" w:hAnsi="Times New Roman" w:eastAsia="方正仿宋简体" w:cs="Times New Roman"/>
                <w:sz w:val="32"/>
                <w:szCs w:val="32"/>
              </w:rPr>
            </w:pPr>
          </w:p>
        </w:tc>
        <w:tc>
          <w:tcPr>
            <w:tcW w:w="1985" w:type="dxa"/>
            <w:vAlign w:val="center"/>
          </w:tcPr>
          <w:p>
            <w:pPr>
              <w:jc w:val="center"/>
              <w:rPr>
                <w:rFonts w:hint="default" w:ascii="Times New Roman" w:hAnsi="Times New Roman" w:eastAsia="方正仿宋简体"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71" w:type="dxa"/>
            <w:vAlign w:val="center"/>
          </w:tcPr>
          <w:p>
            <w:pPr>
              <w:jc w:val="center"/>
              <w:rPr>
                <w:rFonts w:hint="default" w:ascii="Times New Roman" w:hAnsi="Times New Roman" w:eastAsia="方正仿宋简体" w:cs="Times New Roman"/>
                <w:sz w:val="32"/>
                <w:szCs w:val="32"/>
              </w:rPr>
            </w:pPr>
          </w:p>
        </w:tc>
        <w:tc>
          <w:tcPr>
            <w:tcW w:w="4801" w:type="dxa"/>
            <w:vAlign w:val="center"/>
          </w:tcPr>
          <w:p>
            <w:pPr>
              <w:jc w:val="center"/>
              <w:rPr>
                <w:rFonts w:hint="default" w:ascii="Times New Roman" w:hAnsi="Times New Roman" w:eastAsia="方正仿宋简体" w:cs="Times New Roman"/>
                <w:sz w:val="32"/>
                <w:szCs w:val="32"/>
              </w:rPr>
            </w:pPr>
          </w:p>
        </w:tc>
        <w:tc>
          <w:tcPr>
            <w:tcW w:w="1560" w:type="dxa"/>
            <w:vAlign w:val="center"/>
          </w:tcPr>
          <w:p>
            <w:pPr>
              <w:jc w:val="center"/>
              <w:rPr>
                <w:rFonts w:hint="default" w:ascii="Times New Roman" w:hAnsi="Times New Roman" w:eastAsia="方正仿宋简体" w:cs="Times New Roman"/>
                <w:sz w:val="32"/>
                <w:szCs w:val="32"/>
              </w:rPr>
            </w:pPr>
          </w:p>
        </w:tc>
        <w:tc>
          <w:tcPr>
            <w:tcW w:w="1560" w:type="dxa"/>
            <w:vAlign w:val="center"/>
          </w:tcPr>
          <w:p>
            <w:pPr>
              <w:jc w:val="center"/>
              <w:rPr>
                <w:rFonts w:hint="default" w:ascii="Times New Roman" w:hAnsi="Times New Roman" w:eastAsia="方正仿宋简体" w:cs="Times New Roman"/>
                <w:sz w:val="32"/>
                <w:szCs w:val="32"/>
              </w:rPr>
            </w:pPr>
          </w:p>
        </w:tc>
        <w:tc>
          <w:tcPr>
            <w:tcW w:w="2584" w:type="dxa"/>
            <w:vAlign w:val="center"/>
          </w:tcPr>
          <w:p>
            <w:pPr>
              <w:jc w:val="center"/>
              <w:rPr>
                <w:rFonts w:hint="default" w:ascii="Times New Roman" w:hAnsi="Times New Roman" w:eastAsia="方正仿宋简体" w:cs="Times New Roman"/>
                <w:sz w:val="32"/>
                <w:szCs w:val="32"/>
              </w:rPr>
            </w:pPr>
          </w:p>
        </w:tc>
        <w:tc>
          <w:tcPr>
            <w:tcW w:w="1985" w:type="dxa"/>
            <w:vAlign w:val="center"/>
          </w:tcPr>
          <w:p>
            <w:pPr>
              <w:jc w:val="center"/>
              <w:rPr>
                <w:rFonts w:hint="default" w:ascii="Times New Roman" w:hAnsi="Times New Roman" w:eastAsia="方正仿宋简体"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71" w:type="dxa"/>
            <w:vAlign w:val="center"/>
          </w:tcPr>
          <w:p>
            <w:pPr>
              <w:jc w:val="center"/>
              <w:rPr>
                <w:rFonts w:hint="default" w:ascii="Times New Roman" w:hAnsi="Times New Roman" w:eastAsia="方正仿宋简体" w:cs="Times New Roman"/>
                <w:sz w:val="32"/>
                <w:szCs w:val="32"/>
              </w:rPr>
            </w:pPr>
          </w:p>
        </w:tc>
        <w:tc>
          <w:tcPr>
            <w:tcW w:w="4801" w:type="dxa"/>
            <w:vAlign w:val="center"/>
          </w:tcPr>
          <w:p>
            <w:pPr>
              <w:jc w:val="center"/>
              <w:rPr>
                <w:rFonts w:hint="default" w:ascii="Times New Roman" w:hAnsi="Times New Roman" w:eastAsia="方正仿宋简体" w:cs="Times New Roman"/>
                <w:sz w:val="32"/>
                <w:szCs w:val="32"/>
              </w:rPr>
            </w:pPr>
          </w:p>
        </w:tc>
        <w:tc>
          <w:tcPr>
            <w:tcW w:w="1560" w:type="dxa"/>
            <w:vAlign w:val="center"/>
          </w:tcPr>
          <w:p>
            <w:pPr>
              <w:jc w:val="center"/>
              <w:rPr>
                <w:rFonts w:hint="default" w:ascii="Times New Roman" w:hAnsi="Times New Roman" w:eastAsia="方正仿宋简体" w:cs="Times New Roman"/>
                <w:sz w:val="32"/>
                <w:szCs w:val="32"/>
              </w:rPr>
            </w:pPr>
          </w:p>
        </w:tc>
        <w:tc>
          <w:tcPr>
            <w:tcW w:w="1560" w:type="dxa"/>
            <w:vAlign w:val="center"/>
          </w:tcPr>
          <w:p>
            <w:pPr>
              <w:jc w:val="center"/>
              <w:rPr>
                <w:rFonts w:hint="default" w:ascii="Times New Roman" w:hAnsi="Times New Roman" w:eastAsia="方正仿宋简体" w:cs="Times New Roman"/>
                <w:sz w:val="32"/>
                <w:szCs w:val="32"/>
              </w:rPr>
            </w:pPr>
          </w:p>
        </w:tc>
        <w:tc>
          <w:tcPr>
            <w:tcW w:w="2584" w:type="dxa"/>
            <w:vAlign w:val="center"/>
          </w:tcPr>
          <w:p>
            <w:pPr>
              <w:jc w:val="center"/>
              <w:rPr>
                <w:rFonts w:hint="default" w:ascii="Times New Roman" w:hAnsi="Times New Roman" w:eastAsia="方正仿宋简体" w:cs="Times New Roman"/>
                <w:sz w:val="32"/>
                <w:szCs w:val="32"/>
              </w:rPr>
            </w:pPr>
          </w:p>
        </w:tc>
        <w:tc>
          <w:tcPr>
            <w:tcW w:w="1985" w:type="dxa"/>
            <w:vAlign w:val="center"/>
          </w:tcPr>
          <w:p>
            <w:pPr>
              <w:jc w:val="center"/>
              <w:rPr>
                <w:rFonts w:hint="default" w:ascii="Times New Roman" w:hAnsi="Times New Roman" w:eastAsia="方正仿宋简体"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71" w:type="dxa"/>
            <w:vAlign w:val="center"/>
          </w:tcPr>
          <w:p>
            <w:pPr>
              <w:jc w:val="center"/>
              <w:rPr>
                <w:rFonts w:hint="default" w:ascii="Times New Roman" w:hAnsi="Times New Roman" w:eastAsia="方正仿宋简体" w:cs="Times New Roman"/>
                <w:sz w:val="32"/>
                <w:szCs w:val="32"/>
              </w:rPr>
            </w:pPr>
          </w:p>
        </w:tc>
        <w:tc>
          <w:tcPr>
            <w:tcW w:w="4801" w:type="dxa"/>
            <w:vAlign w:val="center"/>
          </w:tcPr>
          <w:p>
            <w:pPr>
              <w:jc w:val="center"/>
              <w:rPr>
                <w:rFonts w:hint="default" w:ascii="Times New Roman" w:hAnsi="Times New Roman" w:eastAsia="方正仿宋简体" w:cs="Times New Roman"/>
                <w:sz w:val="32"/>
                <w:szCs w:val="32"/>
              </w:rPr>
            </w:pPr>
          </w:p>
        </w:tc>
        <w:tc>
          <w:tcPr>
            <w:tcW w:w="1560" w:type="dxa"/>
            <w:vAlign w:val="center"/>
          </w:tcPr>
          <w:p>
            <w:pPr>
              <w:jc w:val="center"/>
              <w:rPr>
                <w:rFonts w:hint="default" w:ascii="Times New Roman" w:hAnsi="Times New Roman" w:eastAsia="方正仿宋简体" w:cs="Times New Roman"/>
                <w:sz w:val="32"/>
                <w:szCs w:val="32"/>
              </w:rPr>
            </w:pPr>
          </w:p>
        </w:tc>
        <w:tc>
          <w:tcPr>
            <w:tcW w:w="1560" w:type="dxa"/>
            <w:vAlign w:val="center"/>
          </w:tcPr>
          <w:p>
            <w:pPr>
              <w:jc w:val="center"/>
              <w:rPr>
                <w:rFonts w:hint="default" w:ascii="Times New Roman" w:hAnsi="Times New Roman" w:eastAsia="方正仿宋简体" w:cs="Times New Roman"/>
                <w:sz w:val="32"/>
                <w:szCs w:val="32"/>
              </w:rPr>
            </w:pPr>
          </w:p>
        </w:tc>
        <w:tc>
          <w:tcPr>
            <w:tcW w:w="2584" w:type="dxa"/>
            <w:vAlign w:val="center"/>
          </w:tcPr>
          <w:p>
            <w:pPr>
              <w:jc w:val="center"/>
              <w:rPr>
                <w:rFonts w:hint="default" w:ascii="Times New Roman" w:hAnsi="Times New Roman" w:eastAsia="方正仿宋简体" w:cs="Times New Roman"/>
                <w:sz w:val="32"/>
                <w:szCs w:val="32"/>
              </w:rPr>
            </w:pPr>
          </w:p>
        </w:tc>
        <w:tc>
          <w:tcPr>
            <w:tcW w:w="1985" w:type="dxa"/>
            <w:vAlign w:val="center"/>
          </w:tcPr>
          <w:p>
            <w:pPr>
              <w:jc w:val="center"/>
              <w:rPr>
                <w:rFonts w:hint="default" w:ascii="Times New Roman" w:hAnsi="Times New Roman" w:eastAsia="方正仿宋简体"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71" w:type="dxa"/>
            <w:vAlign w:val="center"/>
          </w:tcPr>
          <w:p>
            <w:pPr>
              <w:jc w:val="center"/>
              <w:rPr>
                <w:rFonts w:hint="default" w:ascii="Times New Roman" w:hAnsi="Times New Roman" w:eastAsia="方正仿宋简体" w:cs="Times New Roman"/>
                <w:sz w:val="32"/>
                <w:szCs w:val="32"/>
              </w:rPr>
            </w:pPr>
          </w:p>
        </w:tc>
        <w:tc>
          <w:tcPr>
            <w:tcW w:w="4801" w:type="dxa"/>
            <w:vAlign w:val="center"/>
          </w:tcPr>
          <w:p>
            <w:pPr>
              <w:jc w:val="center"/>
              <w:rPr>
                <w:rFonts w:hint="default" w:ascii="Times New Roman" w:hAnsi="Times New Roman" w:eastAsia="方正仿宋简体" w:cs="Times New Roman"/>
                <w:sz w:val="32"/>
                <w:szCs w:val="32"/>
              </w:rPr>
            </w:pPr>
          </w:p>
        </w:tc>
        <w:tc>
          <w:tcPr>
            <w:tcW w:w="1560" w:type="dxa"/>
            <w:vAlign w:val="center"/>
          </w:tcPr>
          <w:p>
            <w:pPr>
              <w:jc w:val="center"/>
              <w:rPr>
                <w:rFonts w:hint="default" w:ascii="Times New Roman" w:hAnsi="Times New Roman" w:eastAsia="方正仿宋简体" w:cs="Times New Roman"/>
                <w:sz w:val="32"/>
                <w:szCs w:val="32"/>
              </w:rPr>
            </w:pPr>
          </w:p>
        </w:tc>
        <w:tc>
          <w:tcPr>
            <w:tcW w:w="1560" w:type="dxa"/>
            <w:vAlign w:val="center"/>
          </w:tcPr>
          <w:p>
            <w:pPr>
              <w:jc w:val="center"/>
              <w:rPr>
                <w:rFonts w:hint="default" w:ascii="Times New Roman" w:hAnsi="Times New Roman" w:eastAsia="方正仿宋简体" w:cs="Times New Roman"/>
                <w:sz w:val="32"/>
                <w:szCs w:val="32"/>
              </w:rPr>
            </w:pPr>
          </w:p>
        </w:tc>
        <w:tc>
          <w:tcPr>
            <w:tcW w:w="2584" w:type="dxa"/>
            <w:vAlign w:val="center"/>
          </w:tcPr>
          <w:p>
            <w:pPr>
              <w:jc w:val="center"/>
              <w:rPr>
                <w:rFonts w:hint="default" w:ascii="Times New Roman" w:hAnsi="Times New Roman" w:eastAsia="方正仿宋简体" w:cs="Times New Roman"/>
                <w:sz w:val="32"/>
                <w:szCs w:val="32"/>
              </w:rPr>
            </w:pPr>
          </w:p>
        </w:tc>
        <w:tc>
          <w:tcPr>
            <w:tcW w:w="1985" w:type="dxa"/>
            <w:vAlign w:val="center"/>
          </w:tcPr>
          <w:p>
            <w:pPr>
              <w:jc w:val="center"/>
              <w:rPr>
                <w:rFonts w:hint="default" w:ascii="Times New Roman" w:hAnsi="Times New Roman" w:eastAsia="方正仿宋简体"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71" w:type="dxa"/>
            <w:vAlign w:val="center"/>
          </w:tcPr>
          <w:p>
            <w:pPr>
              <w:jc w:val="center"/>
              <w:rPr>
                <w:rFonts w:hint="default" w:ascii="Times New Roman" w:hAnsi="Times New Roman" w:eastAsia="方正仿宋简体" w:cs="Times New Roman"/>
                <w:sz w:val="32"/>
                <w:szCs w:val="32"/>
              </w:rPr>
            </w:pPr>
          </w:p>
        </w:tc>
        <w:tc>
          <w:tcPr>
            <w:tcW w:w="4801" w:type="dxa"/>
            <w:vAlign w:val="center"/>
          </w:tcPr>
          <w:p>
            <w:pPr>
              <w:jc w:val="center"/>
              <w:rPr>
                <w:rFonts w:hint="default" w:ascii="Times New Roman" w:hAnsi="Times New Roman" w:eastAsia="方正仿宋简体" w:cs="Times New Roman"/>
                <w:sz w:val="32"/>
                <w:szCs w:val="32"/>
              </w:rPr>
            </w:pPr>
          </w:p>
        </w:tc>
        <w:tc>
          <w:tcPr>
            <w:tcW w:w="1560" w:type="dxa"/>
            <w:vAlign w:val="center"/>
          </w:tcPr>
          <w:p>
            <w:pPr>
              <w:jc w:val="center"/>
              <w:rPr>
                <w:rFonts w:hint="default" w:ascii="Times New Roman" w:hAnsi="Times New Roman" w:eastAsia="方正仿宋简体" w:cs="Times New Roman"/>
                <w:sz w:val="32"/>
                <w:szCs w:val="32"/>
              </w:rPr>
            </w:pPr>
          </w:p>
        </w:tc>
        <w:tc>
          <w:tcPr>
            <w:tcW w:w="1560" w:type="dxa"/>
            <w:vAlign w:val="center"/>
          </w:tcPr>
          <w:p>
            <w:pPr>
              <w:jc w:val="center"/>
              <w:rPr>
                <w:rFonts w:hint="default" w:ascii="Times New Roman" w:hAnsi="Times New Roman" w:eastAsia="方正仿宋简体" w:cs="Times New Roman"/>
                <w:sz w:val="32"/>
                <w:szCs w:val="32"/>
              </w:rPr>
            </w:pPr>
          </w:p>
        </w:tc>
        <w:tc>
          <w:tcPr>
            <w:tcW w:w="2584" w:type="dxa"/>
            <w:vAlign w:val="center"/>
          </w:tcPr>
          <w:p>
            <w:pPr>
              <w:jc w:val="center"/>
              <w:rPr>
                <w:rFonts w:hint="default" w:ascii="Times New Roman" w:hAnsi="Times New Roman" w:eastAsia="方正仿宋简体" w:cs="Times New Roman"/>
                <w:sz w:val="32"/>
                <w:szCs w:val="32"/>
              </w:rPr>
            </w:pPr>
          </w:p>
        </w:tc>
        <w:tc>
          <w:tcPr>
            <w:tcW w:w="1985" w:type="dxa"/>
            <w:vAlign w:val="center"/>
          </w:tcPr>
          <w:p>
            <w:pPr>
              <w:jc w:val="center"/>
              <w:rPr>
                <w:rFonts w:hint="default" w:ascii="Times New Roman" w:hAnsi="Times New Roman" w:eastAsia="方正仿宋简体"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71" w:type="dxa"/>
            <w:vAlign w:val="center"/>
          </w:tcPr>
          <w:p>
            <w:pPr>
              <w:jc w:val="center"/>
              <w:rPr>
                <w:rFonts w:hint="default" w:ascii="Times New Roman" w:hAnsi="Times New Roman" w:eastAsia="方正仿宋简体" w:cs="Times New Roman"/>
                <w:sz w:val="32"/>
                <w:szCs w:val="32"/>
              </w:rPr>
            </w:pPr>
          </w:p>
        </w:tc>
        <w:tc>
          <w:tcPr>
            <w:tcW w:w="4801" w:type="dxa"/>
            <w:vAlign w:val="center"/>
          </w:tcPr>
          <w:p>
            <w:pPr>
              <w:jc w:val="center"/>
              <w:rPr>
                <w:rFonts w:hint="default" w:ascii="Times New Roman" w:hAnsi="Times New Roman" w:eastAsia="方正仿宋简体" w:cs="Times New Roman"/>
                <w:sz w:val="32"/>
                <w:szCs w:val="32"/>
              </w:rPr>
            </w:pPr>
          </w:p>
        </w:tc>
        <w:tc>
          <w:tcPr>
            <w:tcW w:w="1560" w:type="dxa"/>
            <w:vAlign w:val="center"/>
          </w:tcPr>
          <w:p>
            <w:pPr>
              <w:jc w:val="center"/>
              <w:rPr>
                <w:rFonts w:hint="default" w:ascii="Times New Roman" w:hAnsi="Times New Roman" w:eastAsia="方正仿宋简体" w:cs="Times New Roman"/>
                <w:sz w:val="32"/>
                <w:szCs w:val="32"/>
              </w:rPr>
            </w:pPr>
          </w:p>
        </w:tc>
        <w:tc>
          <w:tcPr>
            <w:tcW w:w="1560" w:type="dxa"/>
            <w:vAlign w:val="center"/>
          </w:tcPr>
          <w:p>
            <w:pPr>
              <w:jc w:val="center"/>
              <w:rPr>
                <w:rFonts w:hint="default" w:ascii="Times New Roman" w:hAnsi="Times New Roman" w:eastAsia="方正仿宋简体" w:cs="Times New Roman"/>
                <w:sz w:val="32"/>
                <w:szCs w:val="32"/>
              </w:rPr>
            </w:pPr>
          </w:p>
        </w:tc>
        <w:tc>
          <w:tcPr>
            <w:tcW w:w="2584" w:type="dxa"/>
            <w:vAlign w:val="center"/>
          </w:tcPr>
          <w:p>
            <w:pPr>
              <w:jc w:val="center"/>
              <w:rPr>
                <w:rFonts w:hint="default" w:ascii="Times New Roman" w:hAnsi="Times New Roman" w:eastAsia="方正仿宋简体" w:cs="Times New Roman"/>
                <w:sz w:val="32"/>
                <w:szCs w:val="32"/>
              </w:rPr>
            </w:pPr>
          </w:p>
        </w:tc>
        <w:tc>
          <w:tcPr>
            <w:tcW w:w="1985" w:type="dxa"/>
            <w:vAlign w:val="center"/>
          </w:tcPr>
          <w:p>
            <w:pPr>
              <w:jc w:val="center"/>
              <w:rPr>
                <w:rFonts w:hint="default" w:ascii="Times New Roman" w:hAnsi="Times New Roman" w:eastAsia="方正仿宋简体" w:cs="Times New Roman"/>
                <w:sz w:val="32"/>
                <w:szCs w:val="32"/>
              </w:rPr>
            </w:pPr>
          </w:p>
        </w:tc>
      </w:tr>
    </w:tbl>
    <w:p>
      <w:pPr>
        <w:rPr>
          <w:rFonts w:hint="default" w:ascii="Times New Roman" w:hAnsi="Times New Roman" w:eastAsia="黑体" w:cs="Times New Roman"/>
          <w:sz w:val="28"/>
          <w:szCs w:val="28"/>
        </w:rPr>
        <w:sectPr>
          <w:pgSz w:w="16840" w:h="11907" w:orient="landscape"/>
          <w:pgMar w:top="1440" w:right="1080" w:bottom="1440" w:left="1080" w:header="624" w:footer="1021" w:gutter="0"/>
          <w:pgBorders>
            <w:top w:val="none" w:sz="0" w:space="0"/>
            <w:left w:val="none" w:sz="0" w:space="0"/>
            <w:bottom w:val="none" w:sz="0" w:space="0"/>
            <w:right w:val="none" w:sz="0" w:space="0"/>
          </w:pgBorders>
          <w:pgNumType w:fmt="numberInDash"/>
          <w:cols w:space="425" w:num="1"/>
          <w:docGrid w:linePitch="608" w:charSpace="-432"/>
        </w:sectPr>
      </w:pPr>
    </w:p>
    <w:p>
      <w:pPr>
        <w:ind w:firstLine="560" w:firstLineChars="200"/>
        <w:rPr>
          <w:rFonts w:hint="default" w:ascii="Times New Roman" w:hAnsi="Times New Roman" w:eastAsia="黑体" w:cs="Times New Roman"/>
          <w:sz w:val="28"/>
          <w:szCs w:val="28"/>
          <w:lang w:eastAsia="zh-CN"/>
        </w:rPr>
      </w:pPr>
      <w:r>
        <w:rPr>
          <w:rFonts w:hint="default" w:ascii="Times New Roman" w:hAnsi="Times New Roman" w:eastAsia="黑体" w:cs="Times New Roman"/>
          <w:sz w:val="28"/>
          <w:szCs w:val="28"/>
        </w:rPr>
        <w:t>附件</w:t>
      </w:r>
      <w:r>
        <w:rPr>
          <w:rFonts w:hint="default" w:ascii="Times New Roman" w:hAnsi="Times New Roman" w:eastAsia="黑体" w:cs="Times New Roman"/>
          <w:sz w:val="28"/>
          <w:szCs w:val="28"/>
          <w:lang w:val="en-US" w:eastAsia="zh-CN"/>
        </w:rPr>
        <w:t>5</w:t>
      </w:r>
    </w:p>
    <w:p>
      <w:pPr>
        <w:jc w:val="center"/>
        <w:rPr>
          <w:rFonts w:hint="default" w:ascii="Times New Roman" w:hAnsi="Times New Roman" w:eastAsia="方正小标宋_GBK" w:cs="Times New Roman"/>
          <w:kern w:val="0"/>
          <w:sz w:val="32"/>
          <w:szCs w:val="32"/>
        </w:rPr>
      </w:pPr>
      <w:r>
        <w:rPr>
          <w:rFonts w:hint="default" w:ascii="Times New Roman" w:hAnsi="Times New Roman" w:eastAsia="方正小标宋_GBK" w:cs="Times New Roman"/>
          <w:kern w:val="0"/>
          <w:sz w:val="32"/>
          <w:szCs w:val="32"/>
        </w:rPr>
        <w:t>质量信用等级划分表</w:t>
      </w:r>
    </w:p>
    <w:p>
      <w:pPr>
        <w:jc w:val="center"/>
        <w:rPr>
          <w:rFonts w:hint="default" w:ascii="Times New Roman" w:hAnsi="Times New Roman" w:eastAsia="方正小标宋_GBK" w:cs="Times New Roman"/>
          <w:kern w:val="0"/>
          <w:sz w:val="32"/>
          <w:szCs w:val="32"/>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5670"/>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268" w:type="dxa"/>
            <w:vAlign w:val="center"/>
          </w:tcPr>
          <w:p>
            <w:pPr>
              <w:widowControl/>
              <w:jc w:val="center"/>
              <w:rPr>
                <w:rFonts w:ascii="黑体" w:hAnsi="黑体" w:eastAsia="黑体"/>
                <w:kern w:val="0"/>
                <w:sz w:val="32"/>
                <w:szCs w:val="32"/>
              </w:rPr>
            </w:pPr>
            <w:r>
              <w:rPr>
                <w:rFonts w:hint="eastAsia" w:ascii="黑体" w:hAnsi="黑体" w:eastAsia="黑体"/>
                <w:kern w:val="0"/>
                <w:sz w:val="32"/>
                <w:szCs w:val="32"/>
              </w:rPr>
              <w:t>级别</w:t>
            </w:r>
          </w:p>
        </w:tc>
        <w:tc>
          <w:tcPr>
            <w:tcW w:w="5670" w:type="dxa"/>
            <w:vAlign w:val="center"/>
          </w:tcPr>
          <w:p>
            <w:pPr>
              <w:widowControl/>
              <w:jc w:val="center"/>
              <w:rPr>
                <w:rFonts w:ascii="黑体" w:hAnsi="黑体" w:eastAsia="黑体"/>
                <w:kern w:val="0"/>
                <w:sz w:val="32"/>
                <w:szCs w:val="32"/>
              </w:rPr>
            </w:pPr>
            <w:r>
              <w:rPr>
                <w:rFonts w:hint="eastAsia" w:ascii="黑体" w:hAnsi="黑体" w:eastAsia="黑体"/>
                <w:kern w:val="0"/>
                <w:sz w:val="32"/>
                <w:szCs w:val="32"/>
              </w:rPr>
              <w:t>分数条件</w:t>
            </w:r>
          </w:p>
        </w:tc>
        <w:tc>
          <w:tcPr>
            <w:tcW w:w="5103" w:type="dxa"/>
            <w:vMerge w:val="restart"/>
            <w:vAlign w:val="center"/>
          </w:tcPr>
          <w:p>
            <w:pPr>
              <w:widowControl/>
              <w:jc w:val="left"/>
              <w:rPr>
                <w:rFonts w:hint="eastAsia" w:asciiTheme="minorEastAsia" w:hAnsiTheme="minorEastAsia" w:eastAsiaTheme="minorEastAsia"/>
                <w:kern w:val="0"/>
                <w:sz w:val="24"/>
                <w:szCs w:val="24"/>
              </w:rPr>
            </w:pPr>
            <w:r>
              <w:rPr>
                <w:rFonts w:hint="eastAsia" w:asciiTheme="minorEastAsia" w:hAnsiTheme="minorEastAsia" w:eastAsiaTheme="minorEastAsia"/>
                <w:kern w:val="0"/>
                <w:sz w:val="24"/>
                <w:szCs w:val="24"/>
              </w:rPr>
              <w:t>说明：</w:t>
            </w:r>
          </w:p>
          <w:p>
            <w:pPr>
              <w:widowControl/>
              <w:jc w:val="left"/>
              <w:rPr>
                <w:rFonts w:hint="eastAsia" w:asciiTheme="minorEastAsia" w:hAnsiTheme="minorEastAsia" w:eastAsiaTheme="minorEastAsia"/>
                <w:kern w:val="0"/>
                <w:sz w:val="24"/>
                <w:szCs w:val="24"/>
              </w:rPr>
            </w:pPr>
            <w:r>
              <w:rPr>
                <w:rFonts w:hint="eastAsia" w:asciiTheme="minorEastAsia" w:hAnsiTheme="minorEastAsia" w:eastAsiaTheme="minorEastAsia"/>
                <w:kern w:val="0"/>
                <w:sz w:val="24"/>
                <w:szCs w:val="24"/>
              </w:rPr>
              <w:t>1.评为A、B、C等应同时满足A、B、C等分数条件及正文第十条特别条款的。</w:t>
            </w:r>
          </w:p>
          <w:p>
            <w:pPr>
              <w:widowControl/>
              <w:jc w:val="left"/>
              <w:rPr>
                <w:rFonts w:hint="eastAsia" w:asciiTheme="minorEastAsia" w:hAnsiTheme="minorEastAsia" w:eastAsiaTheme="minorEastAsia"/>
                <w:kern w:val="0"/>
                <w:sz w:val="24"/>
                <w:szCs w:val="24"/>
              </w:rPr>
            </w:pPr>
            <w:r>
              <w:rPr>
                <w:rFonts w:hint="eastAsia" w:asciiTheme="minorEastAsia" w:hAnsiTheme="minorEastAsia" w:eastAsiaTheme="minorEastAsia"/>
                <w:kern w:val="0"/>
                <w:sz w:val="24"/>
                <w:szCs w:val="24"/>
              </w:rPr>
              <w:t>2.符合正文第十条应当评为D等的或分数符合D等的，均应评为D等。</w:t>
            </w:r>
          </w:p>
          <w:p>
            <w:pPr>
              <w:widowControl/>
              <w:jc w:val="left"/>
              <w:rPr>
                <w:rFonts w:hint="default" w:asciiTheme="minorEastAsia" w:hAnsiTheme="minorEastAsia" w:eastAsiaTheme="minorEastAsia"/>
                <w:kern w:val="0"/>
                <w:sz w:val="32"/>
                <w:szCs w:val="32"/>
                <w:lang w:val="en-US" w:eastAsia="zh-CN"/>
              </w:rPr>
            </w:pPr>
            <w:r>
              <w:rPr>
                <w:rFonts w:hint="eastAsia" w:asciiTheme="minorEastAsia" w:hAnsiTheme="minorEastAsia" w:eastAsiaTheme="minorEastAsia"/>
                <w:kern w:val="0"/>
                <w:sz w:val="24"/>
                <w:szCs w:val="24"/>
                <w:lang w:val="en-US" w:eastAsia="zh-CN"/>
              </w:rPr>
              <w:t>3.如</w:t>
            </w:r>
            <w:r>
              <w:rPr>
                <w:rFonts w:hint="eastAsia" w:asciiTheme="minorEastAsia" w:hAnsiTheme="minorEastAsia" w:eastAsiaTheme="minorEastAsia"/>
                <w:kern w:val="0"/>
                <w:sz w:val="24"/>
                <w:szCs w:val="24"/>
              </w:rPr>
              <w:t>分数＞</w:t>
            </w:r>
            <w:r>
              <w:rPr>
                <w:rFonts w:hint="eastAsia" w:asciiTheme="minorEastAsia" w:hAnsiTheme="minorEastAsia" w:eastAsiaTheme="minorEastAsia"/>
                <w:kern w:val="0"/>
                <w:sz w:val="24"/>
                <w:szCs w:val="24"/>
                <w:lang w:val="en-US" w:eastAsia="zh-CN"/>
              </w:rPr>
              <w:t>90</w:t>
            </w:r>
            <w:r>
              <w:rPr>
                <w:rFonts w:hint="eastAsia" w:asciiTheme="minorEastAsia" w:hAnsiTheme="minorEastAsia" w:eastAsiaTheme="minorEastAsia"/>
                <w:kern w:val="0"/>
                <w:sz w:val="24"/>
                <w:szCs w:val="24"/>
              </w:rPr>
              <w:t>分</w:t>
            </w:r>
            <w:r>
              <w:rPr>
                <w:rFonts w:hint="eastAsia" w:asciiTheme="minorEastAsia" w:hAnsiTheme="minorEastAsia" w:eastAsiaTheme="minorEastAsia"/>
                <w:kern w:val="0"/>
                <w:sz w:val="24"/>
                <w:szCs w:val="24"/>
                <w:lang w:eastAsia="zh-CN"/>
              </w:rPr>
              <w:t>的单位数量不足总数</w:t>
            </w:r>
            <w:r>
              <w:rPr>
                <w:rFonts w:hint="eastAsia" w:asciiTheme="minorEastAsia" w:hAnsiTheme="minorEastAsia" w:eastAsiaTheme="minorEastAsia"/>
                <w:kern w:val="0"/>
                <w:sz w:val="24"/>
                <w:szCs w:val="24"/>
                <w:lang w:val="en-US" w:eastAsia="zh-CN"/>
              </w:rPr>
              <w:t>30%，分数排名前30%的递补为A等；如分数≤60分的单位数量大于总数的10%，取后10%为D等。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268" w:type="dxa"/>
            <w:vAlign w:val="center"/>
          </w:tcPr>
          <w:p>
            <w:pPr>
              <w:jc w:val="center"/>
              <w:rPr>
                <w:rFonts w:eastAsia="方正小标宋_GBK"/>
                <w:kern w:val="0"/>
                <w:sz w:val="32"/>
                <w:szCs w:val="32"/>
              </w:rPr>
            </w:pPr>
            <w:r>
              <w:rPr>
                <w:rFonts w:hint="eastAsia" w:eastAsia="方正小标宋_GBK"/>
                <w:kern w:val="0"/>
                <w:sz w:val="32"/>
                <w:szCs w:val="32"/>
              </w:rPr>
              <w:t>A</w:t>
            </w:r>
          </w:p>
        </w:tc>
        <w:tc>
          <w:tcPr>
            <w:tcW w:w="5670" w:type="dxa"/>
            <w:vAlign w:val="center"/>
          </w:tcPr>
          <w:p>
            <w:pPr>
              <w:jc w:val="center"/>
              <w:rPr>
                <w:rFonts w:asciiTheme="minorEastAsia" w:hAnsiTheme="minorEastAsia" w:eastAsiaTheme="minorEastAsia"/>
                <w:kern w:val="0"/>
                <w:sz w:val="32"/>
                <w:szCs w:val="32"/>
              </w:rPr>
            </w:pPr>
            <w:r>
              <w:rPr>
                <w:rFonts w:hint="eastAsia" w:asciiTheme="minorEastAsia" w:hAnsiTheme="minorEastAsia" w:eastAsiaTheme="minorEastAsia"/>
                <w:kern w:val="0"/>
                <w:sz w:val="32"/>
                <w:szCs w:val="32"/>
              </w:rPr>
              <w:t>分数＞</w:t>
            </w:r>
            <w:r>
              <w:rPr>
                <w:rFonts w:hint="eastAsia" w:asciiTheme="minorEastAsia" w:hAnsiTheme="minorEastAsia" w:eastAsiaTheme="minorEastAsia"/>
                <w:kern w:val="0"/>
                <w:sz w:val="32"/>
                <w:szCs w:val="32"/>
                <w:lang w:val="en-US" w:eastAsia="zh-CN"/>
              </w:rPr>
              <w:t>90</w:t>
            </w:r>
            <w:r>
              <w:rPr>
                <w:rFonts w:hint="eastAsia" w:asciiTheme="minorEastAsia" w:hAnsiTheme="minorEastAsia" w:eastAsiaTheme="minorEastAsia"/>
                <w:kern w:val="0"/>
                <w:sz w:val="32"/>
                <w:szCs w:val="32"/>
              </w:rPr>
              <w:t>分</w:t>
            </w:r>
          </w:p>
        </w:tc>
        <w:tc>
          <w:tcPr>
            <w:tcW w:w="5103" w:type="dxa"/>
            <w:vMerge w:val="continue"/>
            <w:vAlign w:val="center"/>
          </w:tcPr>
          <w:p>
            <w:pPr>
              <w:jc w:val="center"/>
              <w:rPr>
                <w:rFonts w:asciiTheme="minorEastAsia" w:hAnsiTheme="minorEastAsia" w:eastAsia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268" w:type="dxa"/>
            <w:vAlign w:val="center"/>
          </w:tcPr>
          <w:p>
            <w:pPr>
              <w:jc w:val="center"/>
              <w:rPr>
                <w:rFonts w:eastAsia="方正小标宋_GBK"/>
                <w:kern w:val="0"/>
                <w:sz w:val="32"/>
                <w:szCs w:val="32"/>
              </w:rPr>
            </w:pPr>
            <w:r>
              <w:rPr>
                <w:rFonts w:hint="eastAsia" w:eastAsia="方正小标宋_GBK"/>
                <w:kern w:val="0"/>
                <w:sz w:val="32"/>
                <w:szCs w:val="32"/>
              </w:rPr>
              <w:t>B</w:t>
            </w:r>
          </w:p>
        </w:tc>
        <w:tc>
          <w:tcPr>
            <w:tcW w:w="5670" w:type="dxa"/>
            <w:vAlign w:val="center"/>
          </w:tcPr>
          <w:p>
            <w:pPr>
              <w:jc w:val="center"/>
              <w:rPr>
                <w:rFonts w:asciiTheme="minorEastAsia" w:hAnsiTheme="minorEastAsia" w:eastAsiaTheme="minorEastAsia"/>
                <w:kern w:val="0"/>
                <w:sz w:val="32"/>
                <w:szCs w:val="32"/>
              </w:rPr>
            </w:pPr>
            <w:r>
              <w:rPr>
                <w:rFonts w:hint="eastAsia" w:asciiTheme="minorEastAsia" w:hAnsiTheme="minorEastAsia" w:eastAsiaTheme="minorEastAsia"/>
                <w:kern w:val="0"/>
                <w:sz w:val="32"/>
                <w:szCs w:val="32"/>
                <w:lang w:val="en-US" w:eastAsia="zh-CN"/>
              </w:rPr>
              <w:t>90</w:t>
            </w:r>
            <w:r>
              <w:rPr>
                <w:rFonts w:hint="eastAsia" w:asciiTheme="minorEastAsia" w:hAnsiTheme="minorEastAsia" w:eastAsiaTheme="minorEastAsia"/>
                <w:kern w:val="0"/>
                <w:sz w:val="32"/>
                <w:szCs w:val="32"/>
              </w:rPr>
              <w:t>分≥分数＞</w:t>
            </w:r>
            <w:r>
              <w:rPr>
                <w:rFonts w:hint="eastAsia" w:asciiTheme="minorEastAsia" w:hAnsiTheme="minorEastAsia" w:eastAsiaTheme="minorEastAsia"/>
                <w:kern w:val="0"/>
                <w:sz w:val="32"/>
                <w:szCs w:val="32"/>
                <w:lang w:val="en-US" w:eastAsia="zh-CN"/>
              </w:rPr>
              <w:t>75</w:t>
            </w:r>
            <w:r>
              <w:rPr>
                <w:rFonts w:hint="eastAsia" w:asciiTheme="minorEastAsia" w:hAnsiTheme="minorEastAsia" w:eastAsiaTheme="minorEastAsia"/>
                <w:kern w:val="0"/>
                <w:sz w:val="32"/>
                <w:szCs w:val="32"/>
              </w:rPr>
              <w:t>分</w:t>
            </w:r>
          </w:p>
        </w:tc>
        <w:tc>
          <w:tcPr>
            <w:tcW w:w="5103" w:type="dxa"/>
            <w:vMerge w:val="continue"/>
            <w:vAlign w:val="center"/>
          </w:tcPr>
          <w:p>
            <w:pPr>
              <w:jc w:val="center"/>
              <w:rPr>
                <w:rFonts w:asciiTheme="minorEastAsia" w:hAnsiTheme="minorEastAsia" w:eastAsia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268" w:type="dxa"/>
            <w:vAlign w:val="center"/>
          </w:tcPr>
          <w:p>
            <w:pPr>
              <w:jc w:val="center"/>
              <w:rPr>
                <w:rFonts w:eastAsia="方正小标宋_GBK"/>
                <w:kern w:val="0"/>
                <w:sz w:val="32"/>
                <w:szCs w:val="32"/>
              </w:rPr>
            </w:pPr>
            <w:r>
              <w:rPr>
                <w:rFonts w:hint="eastAsia" w:eastAsia="方正小标宋_GBK"/>
                <w:kern w:val="0"/>
                <w:sz w:val="32"/>
                <w:szCs w:val="32"/>
              </w:rPr>
              <w:t>C</w:t>
            </w:r>
          </w:p>
        </w:tc>
        <w:tc>
          <w:tcPr>
            <w:tcW w:w="5670" w:type="dxa"/>
            <w:vAlign w:val="center"/>
          </w:tcPr>
          <w:p>
            <w:pPr>
              <w:jc w:val="center"/>
              <w:rPr>
                <w:rFonts w:asciiTheme="minorEastAsia" w:hAnsiTheme="minorEastAsia" w:eastAsiaTheme="minorEastAsia"/>
                <w:kern w:val="0"/>
                <w:sz w:val="32"/>
                <w:szCs w:val="32"/>
              </w:rPr>
            </w:pPr>
            <w:r>
              <w:rPr>
                <w:rFonts w:hint="eastAsia" w:asciiTheme="minorEastAsia" w:hAnsiTheme="minorEastAsia" w:eastAsiaTheme="minorEastAsia"/>
                <w:kern w:val="0"/>
                <w:sz w:val="32"/>
                <w:szCs w:val="32"/>
                <w:lang w:val="en-US" w:eastAsia="zh-CN"/>
              </w:rPr>
              <w:t>75</w:t>
            </w:r>
            <w:r>
              <w:rPr>
                <w:rFonts w:hint="eastAsia" w:asciiTheme="minorEastAsia" w:hAnsiTheme="minorEastAsia" w:eastAsiaTheme="minorEastAsia"/>
                <w:kern w:val="0"/>
                <w:sz w:val="32"/>
                <w:szCs w:val="32"/>
              </w:rPr>
              <w:t>分≥分数＞</w:t>
            </w:r>
            <w:r>
              <w:rPr>
                <w:rFonts w:hint="eastAsia" w:asciiTheme="minorEastAsia" w:hAnsiTheme="minorEastAsia" w:eastAsiaTheme="minorEastAsia"/>
                <w:kern w:val="0"/>
                <w:sz w:val="32"/>
                <w:szCs w:val="32"/>
                <w:lang w:val="en-US" w:eastAsia="zh-CN"/>
              </w:rPr>
              <w:t>6</w:t>
            </w:r>
            <w:r>
              <w:rPr>
                <w:rFonts w:hint="eastAsia" w:asciiTheme="minorEastAsia" w:hAnsiTheme="minorEastAsia" w:eastAsiaTheme="minorEastAsia"/>
                <w:kern w:val="0"/>
                <w:sz w:val="32"/>
                <w:szCs w:val="32"/>
              </w:rPr>
              <w:t>0分</w:t>
            </w:r>
          </w:p>
        </w:tc>
        <w:tc>
          <w:tcPr>
            <w:tcW w:w="5103" w:type="dxa"/>
            <w:vMerge w:val="continue"/>
            <w:vAlign w:val="center"/>
          </w:tcPr>
          <w:p>
            <w:pPr>
              <w:jc w:val="center"/>
              <w:rPr>
                <w:rFonts w:asciiTheme="minorEastAsia" w:hAnsiTheme="minorEastAsia" w:eastAsiaTheme="minorEastAsia"/>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268" w:type="dxa"/>
            <w:vAlign w:val="center"/>
          </w:tcPr>
          <w:p>
            <w:pPr>
              <w:jc w:val="center"/>
              <w:rPr>
                <w:rFonts w:eastAsia="方正小标宋_GBK"/>
                <w:kern w:val="0"/>
                <w:sz w:val="32"/>
                <w:szCs w:val="32"/>
              </w:rPr>
            </w:pPr>
            <w:r>
              <w:rPr>
                <w:rFonts w:hint="eastAsia" w:eastAsia="方正小标宋_GBK"/>
                <w:kern w:val="0"/>
                <w:sz w:val="32"/>
                <w:szCs w:val="32"/>
              </w:rPr>
              <w:t>D</w:t>
            </w:r>
          </w:p>
        </w:tc>
        <w:tc>
          <w:tcPr>
            <w:tcW w:w="5670" w:type="dxa"/>
            <w:vAlign w:val="center"/>
          </w:tcPr>
          <w:p>
            <w:pPr>
              <w:jc w:val="center"/>
              <w:rPr>
                <w:rFonts w:asciiTheme="minorEastAsia" w:hAnsiTheme="minorEastAsia" w:eastAsiaTheme="minorEastAsia"/>
                <w:kern w:val="0"/>
                <w:sz w:val="32"/>
                <w:szCs w:val="32"/>
              </w:rPr>
            </w:pPr>
            <w:r>
              <w:rPr>
                <w:rFonts w:hint="eastAsia" w:asciiTheme="minorEastAsia" w:hAnsiTheme="minorEastAsia" w:eastAsiaTheme="minorEastAsia"/>
                <w:kern w:val="0"/>
                <w:sz w:val="32"/>
                <w:szCs w:val="32"/>
                <w:lang w:val="en-US" w:eastAsia="zh-CN"/>
              </w:rPr>
              <w:t>6</w:t>
            </w:r>
            <w:r>
              <w:rPr>
                <w:rFonts w:hint="eastAsia" w:asciiTheme="minorEastAsia" w:hAnsiTheme="minorEastAsia" w:eastAsiaTheme="minorEastAsia"/>
                <w:kern w:val="0"/>
                <w:sz w:val="32"/>
                <w:szCs w:val="32"/>
              </w:rPr>
              <w:t>0分≥分数</w:t>
            </w:r>
          </w:p>
        </w:tc>
        <w:tc>
          <w:tcPr>
            <w:tcW w:w="5103" w:type="dxa"/>
            <w:vMerge w:val="continue"/>
            <w:vAlign w:val="center"/>
          </w:tcPr>
          <w:p>
            <w:pPr>
              <w:jc w:val="center"/>
              <w:rPr>
                <w:rFonts w:asciiTheme="minorEastAsia" w:hAnsiTheme="minorEastAsia" w:eastAsiaTheme="minorEastAsia"/>
                <w:kern w:val="0"/>
                <w:sz w:val="32"/>
                <w:szCs w:val="32"/>
              </w:rPr>
            </w:pPr>
          </w:p>
        </w:tc>
      </w:tr>
    </w:tbl>
    <w:p>
      <w:pPr>
        <w:rPr>
          <w:rFonts w:hint="default" w:ascii="Times New Roman" w:hAnsi="Times New Roman" w:eastAsia="方正小标宋_GBK" w:cs="Times New Roman"/>
          <w:kern w:val="0"/>
          <w:sz w:val="32"/>
          <w:szCs w:val="32"/>
        </w:rPr>
      </w:pPr>
    </w:p>
    <w:p>
      <w:pPr>
        <w:jc w:val="center"/>
        <w:rPr>
          <w:rFonts w:hint="default" w:ascii="Times New Roman" w:hAnsi="Times New Roman" w:eastAsia="方正小标宋_GBK" w:cs="Times New Roman"/>
          <w:strike/>
          <w:dstrike w:val="0"/>
          <w:kern w:val="0"/>
          <w:sz w:val="32"/>
          <w:szCs w:val="32"/>
        </w:rPr>
      </w:pPr>
    </w:p>
    <w:p>
      <w:pPr>
        <w:rPr>
          <w:rFonts w:hint="default" w:ascii="Times New Roman" w:hAnsi="Times New Roman" w:eastAsia="方正小标宋_GBK" w:cs="Times New Roman"/>
          <w:kern w:val="0"/>
          <w:sz w:val="32"/>
          <w:szCs w:val="32"/>
        </w:rPr>
      </w:pPr>
    </w:p>
    <w:p>
      <w:pPr>
        <w:jc w:val="center"/>
        <w:rPr>
          <w:rFonts w:hint="default" w:ascii="Times New Roman" w:hAnsi="Times New Roman" w:eastAsia="仿宋_GB2312" w:cs="Times New Roman"/>
          <w:sz w:val="28"/>
          <w:szCs w:val="28"/>
        </w:rPr>
        <w:sectPr>
          <w:pgSz w:w="16840" w:h="11907" w:orient="landscape"/>
          <w:pgMar w:top="1440" w:right="1080" w:bottom="1440" w:left="1080" w:header="624" w:footer="1021" w:gutter="0"/>
          <w:pgBorders>
            <w:top w:val="none" w:sz="0" w:space="0"/>
            <w:left w:val="none" w:sz="0" w:space="0"/>
            <w:bottom w:val="none" w:sz="0" w:space="0"/>
            <w:right w:val="none" w:sz="0" w:space="0"/>
          </w:pgBorders>
          <w:pgNumType w:fmt="numberInDash"/>
          <w:cols w:space="425" w:num="1"/>
          <w:docGrid w:linePitch="608" w:charSpace="-432"/>
        </w:sectPr>
      </w:pPr>
    </w:p>
    <w:p>
      <w:pPr>
        <w:ind w:firstLine="560" w:firstLineChars="200"/>
        <w:rPr>
          <w:rFonts w:hint="default" w:ascii="Times New Roman" w:hAnsi="Times New Roman" w:eastAsia="黑体" w:cs="Times New Roman"/>
          <w:sz w:val="28"/>
          <w:szCs w:val="28"/>
          <w:lang w:eastAsia="zh-CN"/>
        </w:rPr>
      </w:pPr>
      <w:r>
        <w:rPr>
          <w:rFonts w:hint="default" w:ascii="Times New Roman" w:hAnsi="Times New Roman" w:eastAsia="黑体" w:cs="Times New Roman"/>
          <w:sz w:val="28"/>
          <w:szCs w:val="28"/>
        </w:rPr>
        <w:t>附件</w:t>
      </w:r>
      <w:r>
        <w:rPr>
          <w:rFonts w:hint="default" w:ascii="Times New Roman" w:hAnsi="Times New Roman" w:eastAsia="黑体" w:cs="Times New Roman"/>
          <w:sz w:val="28"/>
          <w:szCs w:val="28"/>
          <w:lang w:val="en-US" w:eastAsia="zh-CN"/>
        </w:rPr>
        <w:t>6</w:t>
      </w:r>
    </w:p>
    <w:p>
      <w:pPr>
        <w:widowControl/>
        <w:jc w:val="center"/>
        <w:rPr>
          <w:rFonts w:hint="default" w:ascii="Times New Roman" w:hAnsi="Times New Roman" w:eastAsia="方正小标宋_GBK" w:cs="Times New Roman"/>
          <w:kern w:val="0"/>
          <w:sz w:val="32"/>
          <w:szCs w:val="32"/>
        </w:rPr>
      </w:pPr>
      <w:r>
        <w:rPr>
          <w:rFonts w:hint="default" w:ascii="Times New Roman" w:hAnsi="Times New Roman" w:eastAsia="方正小标宋_GBK" w:cs="Times New Roman"/>
          <w:kern w:val="0"/>
          <w:sz w:val="32"/>
          <w:szCs w:val="32"/>
          <w:u w:val="single"/>
        </w:rPr>
        <w:t xml:space="preserve"> </w:t>
      </w:r>
      <w:r>
        <w:rPr>
          <w:rFonts w:hint="default" w:ascii="Times New Roman" w:hAnsi="Times New Roman" w:eastAsia="方正小标宋_GBK" w:cs="Times New Roman"/>
          <w:kern w:val="0"/>
          <w:sz w:val="32"/>
          <w:szCs w:val="32"/>
          <w:u w:val="single"/>
          <w:lang w:val="en-US" w:eastAsia="zh-CN"/>
        </w:rPr>
        <w:t xml:space="preserve">    </w:t>
      </w:r>
      <w:r>
        <w:rPr>
          <w:rFonts w:hint="default" w:ascii="Times New Roman" w:hAnsi="Times New Roman" w:eastAsia="方正小标宋_GBK" w:cs="Times New Roman"/>
          <w:kern w:val="0"/>
          <w:sz w:val="32"/>
          <w:szCs w:val="32"/>
          <w:u w:val="single"/>
        </w:rPr>
        <w:t xml:space="preserve"> </w:t>
      </w:r>
      <w:r>
        <w:rPr>
          <w:rFonts w:hint="default" w:ascii="Times New Roman" w:hAnsi="Times New Roman" w:eastAsia="方正小标宋_GBK" w:cs="Times New Roman"/>
          <w:kern w:val="0"/>
          <w:sz w:val="32"/>
          <w:szCs w:val="32"/>
        </w:rPr>
        <w:t>年度乐山维保单位等级评定公示表</w:t>
      </w:r>
    </w:p>
    <w:p>
      <w:pPr>
        <w:rPr>
          <w:rFonts w:hint="default" w:ascii="Times New Roman" w:hAnsi="Times New Roman" w:eastAsia="仿宋_GB2312" w:cs="Times New Roman"/>
          <w:sz w:val="28"/>
          <w:szCs w:val="28"/>
        </w:rPr>
      </w:pPr>
    </w:p>
    <w:tbl>
      <w:tblPr>
        <w:tblStyle w:val="8"/>
        <w:tblW w:w="12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52"/>
        <w:gridCol w:w="2455"/>
        <w:gridCol w:w="2313"/>
        <w:gridCol w:w="2280"/>
        <w:gridCol w:w="1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752" w:type="dxa"/>
            <w:shd w:val="clear" w:color="auto" w:fill="auto"/>
            <w:vAlign w:val="center"/>
          </w:tcPr>
          <w:p>
            <w:pPr>
              <w:widowControl/>
              <w:jc w:val="center"/>
              <w:rPr>
                <w:rFonts w:hint="default" w:ascii="Times New Roman" w:hAnsi="Times New Roman" w:eastAsia="黑体" w:cs="Times New Roman"/>
                <w:kern w:val="0"/>
                <w:sz w:val="24"/>
              </w:rPr>
            </w:pPr>
            <w:r>
              <w:rPr>
                <w:rFonts w:hint="default" w:ascii="Times New Roman" w:hAnsi="Times New Roman" w:eastAsia="黑体" w:cs="Times New Roman"/>
                <w:kern w:val="0"/>
                <w:sz w:val="24"/>
              </w:rPr>
              <w:t>维保单位名称</w:t>
            </w:r>
          </w:p>
        </w:tc>
        <w:tc>
          <w:tcPr>
            <w:tcW w:w="2455" w:type="dxa"/>
            <w:shd w:val="clear" w:color="auto" w:fill="auto"/>
            <w:vAlign w:val="center"/>
          </w:tcPr>
          <w:p>
            <w:pPr>
              <w:widowControl/>
              <w:jc w:val="center"/>
              <w:rPr>
                <w:rFonts w:hint="default" w:ascii="Times New Roman" w:hAnsi="Times New Roman" w:eastAsia="黑体" w:cs="Times New Roman"/>
                <w:kern w:val="0"/>
                <w:sz w:val="24"/>
              </w:rPr>
            </w:pPr>
            <w:r>
              <w:rPr>
                <w:rFonts w:hint="default" w:ascii="Times New Roman" w:hAnsi="Times New Roman" w:eastAsia="黑体" w:cs="Times New Roman"/>
                <w:kern w:val="0"/>
                <w:sz w:val="24"/>
              </w:rPr>
              <w:t>质量信用评分排名</w:t>
            </w:r>
          </w:p>
        </w:tc>
        <w:tc>
          <w:tcPr>
            <w:tcW w:w="2313" w:type="dxa"/>
            <w:vAlign w:val="center"/>
          </w:tcPr>
          <w:p>
            <w:pPr>
              <w:widowControl/>
              <w:jc w:val="center"/>
              <w:rPr>
                <w:rFonts w:hint="default" w:ascii="Times New Roman" w:hAnsi="Times New Roman" w:eastAsia="黑体" w:cs="Times New Roman"/>
                <w:kern w:val="0"/>
                <w:sz w:val="24"/>
              </w:rPr>
            </w:pPr>
            <w:r>
              <w:rPr>
                <w:rFonts w:hint="default" w:ascii="Times New Roman" w:hAnsi="Times New Roman" w:eastAsia="黑体" w:cs="Times New Roman"/>
                <w:kern w:val="0"/>
                <w:sz w:val="24"/>
              </w:rPr>
              <w:t>行政处罚情况</w:t>
            </w:r>
          </w:p>
        </w:tc>
        <w:tc>
          <w:tcPr>
            <w:tcW w:w="2280" w:type="dxa"/>
            <w:vAlign w:val="center"/>
          </w:tcPr>
          <w:p>
            <w:pPr>
              <w:widowControl/>
              <w:jc w:val="center"/>
              <w:rPr>
                <w:rFonts w:hint="default" w:ascii="Times New Roman" w:hAnsi="Times New Roman" w:eastAsia="黑体" w:cs="Times New Roman"/>
                <w:kern w:val="0"/>
                <w:sz w:val="24"/>
              </w:rPr>
            </w:pPr>
            <w:r>
              <w:rPr>
                <w:rFonts w:hint="default" w:ascii="Times New Roman" w:hAnsi="Times New Roman" w:eastAsia="黑体" w:cs="Times New Roman"/>
                <w:kern w:val="0"/>
                <w:sz w:val="24"/>
              </w:rPr>
              <w:t>是否发生事故</w:t>
            </w:r>
          </w:p>
        </w:tc>
        <w:tc>
          <w:tcPr>
            <w:tcW w:w="1782" w:type="dxa"/>
            <w:vAlign w:val="center"/>
          </w:tcPr>
          <w:p>
            <w:pPr>
              <w:widowControl/>
              <w:jc w:val="center"/>
              <w:rPr>
                <w:rFonts w:hint="default" w:ascii="Times New Roman" w:hAnsi="Times New Roman" w:eastAsia="黑体" w:cs="Times New Roman"/>
                <w:kern w:val="0"/>
                <w:sz w:val="24"/>
              </w:rPr>
            </w:pPr>
            <w:r>
              <w:rPr>
                <w:rFonts w:hint="default" w:ascii="Times New Roman" w:hAnsi="Times New Roman" w:eastAsia="黑体" w:cs="Times New Roman"/>
                <w:kern w:val="0"/>
                <w:sz w:val="24"/>
              </w:rPr>
              <w:t>评定等级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752" w:type="dxa"/>
            <w:shd w:val="clear" w:color="auto" w:fill="auto"/>
            <w:vAlign w:val="center"/>
          </w:tcPr>
          <w:p>
            <w:pPr>
              <w:widowControl/>
              <w:jc w:val="center"/>
              <w:rPr>
                <w:rFonts w:hint="default" w:ascii="Times New Roman" w:hAnsi="Times New Roman" w:cs="Times New Roman"/>
                <w:kern w:val="0"/>
                <w:sz w:val="24"/>
              </w:rPr>
            </w:pPr>
          </w:p>
        </w:tc>
        <w:tc>
          <w:tcPr>
            <w:tcW w:w="2455" w:type="dxa"/>
            <w:shd w:val="clear" w:color="auto" w:fill="auto"/>
            <w:vAlign w:val="center"/>
          </w:tcPr>
          <w:p>
            <w:pPr>
              <w:widowControl/>
              <w:jc w:val="center"/>
              <w:rPr>
                <w:rFonts w:hint="default" w:ascii="Times New Roman" w:hAnsi="Times New Roman" w:cs="Times New Roman"/>
                <w:kern w:val="0"/>
                <w:sz w:val="24"/>
              </w:rPr>
            </w:pPr>
          </w:p>
        </w:tc>
        <w:tc>
          <w:tcPr>
            <w:tcW w:w="2313" w:type="dxa"/>
            <w:vAlign w:val="center"/>
          </w:tcPr>
          <w:p>
            <w:pPr>
              <w:widowControl/>
              <w:jc w:val="center"/>
              <w:rPr>
                <w:rFonts w:hint="default" w:ascii="Times New Roman" w:hAnsi="Times New Roman" w:cs="Times New Roman"/>
                <w:kern w:val="0"/>
                <w:sz w:val="24"/>
              </w:rPr>
            </w:pPr>
          </w:p>
        </w:tc>
        <w:tc>
          <w:tcPr>
            <w:tcW w:w="2280" w:type="dxa"/>
            <w:vAlign w:val="center"/>
          </w:tcPr>
          <w:p>
            <w:pPr>
              <w:widowControl/>
              <w:jc w:val="center"/>
              <w:rPr>
                <w:rFonts w:hint="default" w:ascii="Times New Roman" w:hAnsi="Times New Roman" w:cs="Times New Roman"/>
                <w:kern w:val="0"/>
                <w:sz w:val="24"/>
              </w:rPr>
            </w:pPr>
          </w:p>
        </w:tc>
        <w:tc>
          <w:tcPr>
            <w:tcW w:w="1782" w:type="dxa"/>
            <w:vAlign w:val="center"/>
          </w:tcPr>
          <w:p>
            <w:pPr>
              <w:widowControl/>
              <w:jc w:val="center"/>
              <w:rPr>
                <w:rFonts w:hint="default" w:ascii="Times New Roman" w:hAnsi="Times New Roman"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752" w:type="dxa"/>
            <w:shd w:val="clear" w:color="auto" w:fill="auto"/>
            <w:vAlign w:val="center"/>
          </w:tcPr>
          <w:p>
            <w:pPr>
              <w:widowControl/>
              <w:jc w:val="center"/>
              <w:rPr>
                <w:rFonts w:hint="default" w:ascii="Times New Roman" w:hAnsi="Times New Roman" w:cs="Times New Roman"/>
                <w:kern w:val="0"/>
                <w:sz w:val="24"/>
              </w:rPr>
            </w:pPr>
          </w:p>
        </w:tc>
        <w:tc>
          <w:tcPr>
            <w:tcW w:w="2455" w:type="dxa"/>
            <w:shd w:val="clear" w:color="auto" w:fill="auto"/>
            <w:vAlign w:val="center"/>
          </w:tcPr>
          <w:p>
            <w:pPr>
              <w:widowControl/>
              <w:jc w:val="center"/>
              <w:rPr>
                <w:rFonts w:hint="default" w:ascii="Times New Roman" w:hAnsi="Times New Roman" w:cs="Times New Roman"/>
                <w:kern w:val="0"/>
                <w:sz w:val="24"/>
              </w:rPr>
            </w:pPr>
          </w:p>
        </w:tc>
        <w:tc>
          <w:tcPr>
            <w:tcW w:w="2313" w:type="dxa"/>
            <w:vAlign w:val="center"/>
          </w:tcPr>
          <w:p>
            <w:pPr>
              <w:widowControl/>
              <w:jc w:val="center"/>
              <w:rPr>
                <w:rFonts w:hint="default" w:ascii="Times New Roman" w:hAnsi="Times New Roman" w:cs="Times New Roman"/>
                <w:kern w:val="0"/>
                <w:sz w:val="24"/>
              </w:rPr>
            </w:pPr>
          </w:p>
        </w:tc>
        <w:tc>
          <w:tcPr>
            <w:tcW w:w="2280" w:type="dxa"/>
            <w:vAlign w:val="center"/>
          </w:tcPr>
          <w:p>
            <w:pPr>
              <w:widowControl/>
              <w:jc w:val="center"/>
              <w:rPr>
                <w:rFonts w:hint="default" w:ascii="Times New Roman" w:hAnsi="Times New Roman" w:cs="Times New Roman"/>
                <w:kern w:val="0"/>
                <w:sz w:val="24"/>
              </w:rPr>
            </w:pPr>
          </w:p>
        </w:tc>
        <w:tc>
          <w:tcPr>
            <w:tcW w:w="1782" w:type="dxa"/>
            <w:vAlign w:val="center"/>
          </w:tcPr>
          <w:p>
            <w:pPr>
              <w:widowControl/>
              <w:jc w:val="center"/>
              <w:rPr>
                <w:rFonts w:hint="default" w:ascii="Times New Roman" w:hAnsi="Times New Roman"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752" w:type="dxa"/>
            <w:shd w:val="clear" w:color="auto" w:fill="auto"/>
            <w:vAlign w:val="center"/>
          </w:tcPr>
          <w:p>
            <w:pPr>
              <w:widowControl/>
              <w:jc w:val="center"/>
              <w:rPr>
                <w:rFonts w:hint="default" w:ascii="Times New Roman" w:hAnsi="Times New Roman" w:cs="Times New Roman"/>
                <w:kern w:val="0"/>
                <w:sz w:val="24"/>
              </w:rPr>
            </w:pPr>
          </w:p>
        </w:tc>
        <w:tc>
          <w:tcPr>
            <w:tcW w:w="2455" w:type="dxa"/>
            <w:shd w:val="clear" w:color="auto" w:fill="auto"/>
            <w:vAlign w:val="center"/>
          </w:tcPr>
          <w:p>
            <w:pPr>
              <w:widowControl/>
              <w:jc w:val="center"/>
              <w:rPr>
                <w:rFonts w:hint="default" w:ascii="Times New Roman" w:hAnsi="Times New Roman" w:cs="Times New Roman"/>
                <w:kern w:val="0"/>
                <w:sz w:val="24"/>
              </w:rPr>
            </w:pPr>
          </w:p>
        </w:tc>
        <w:tc>
          <w:tcPr>
            <w:tcW w:w="2313" w:type="dxa"/>
            <w:vAlign w:val="center"/>
          </w:tcPr>
          <w:p>
            <w:pPr>
              <w:widowControl/>
              <w:jc w:val="center"/>
              <w:rPr>
                <w:rFonts w:hint="default" w:ascii="Times New Roman" w:hAnsi="Times New Roman" w:cs="Times New Roman"/>
                <w:kern w:val="0"/>
                <w:sz w:val="24"/>
              </w:rPr>
            </w:pPr>
          </w:p>
        </w:tc>
        <w:tc>
          <w:tcPr>
            <w:tcW w:w="2280" w:type="dxa"/>
            <w:vAlign w:val="center"/>
          </w:tcPr>
          <w:p>
            <w:pPr>
              <w:widowControl/>
              <w:jc w:val="center"/>
              <w:rPr>
                <w:rFonts w:hint="default" w:ascii="Times New Roman" w:hAnsi="Times New Roman" w:cs="Times New Roman"/>
                <w:kern w:val="0"/>
                <w:sz w:val="24"/>
              </w:rPr>
            </w:pPr>
          </w:p>
        </w:tc>
        <w:tc>
          <w:tcPr>
            <w:tcW w:w="1782" w:type="dxa"/>
            <w:vAlign w:val="center"/>
          </w:tcPr>
          <w:p>
            <w:pPr>
              <w:widowControl/>
              <w:jc w:val="center"/>
              <w:rPr>
                <w:rFonts w:hint="default" w:ascii="Times New Roman" w:hAnsi="Times New Roman"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752" w:type="dxa"/>
            <w:shd w:val="clear" w:color="auto" w:fill="auto"/>
            <w:vAlign w:val="center"/>
          </w:tcPr>
          <w:p>
            <w:pPr>
              <w:widowControl/>
              <w:jc w:val="center"/>
              <w:rPr>
                <w:rFonts w:hint="default" w:ascii="Times New Roman" w:hAnsi="Times New Roman" w:cs="Times New Roman"/>
                <w:kern w:val="0"/>
                <w:sz w:val="24"/>
              </w:rPr>
            </w:pPr>
          </w:p>
        </w:tc>
        <w:tc>
          <w:tcPr>
            <w:tcW w:w="2455" w:type="dxa"/>
            <w:shd w:val="clear" w:color="auto" w:fill="auto"/>
            <w:vAlign w:val="center"/>
          </w:tcPr>
          <w:p>
            <w:pPr>
              <w:widowControl/>
              <w:jc w:val="center"/>
              <w:rPr>
                <w:rFonts w:hint="default" w:ascii="Times New Roman" w:hAnsi="Times New Roman" w:cs="Times New Roman"/>
                <w:kern w:val="0"/>
                <w:sz w:val="24"/>
              </w:rPr>
            </w:pPr>
          </w:p>
        </w:tc>
        <w:tc>
          <w:tcPr>
            <w:tcW w:w="2313" w:type="dxa"/>
            <w:vAlign w:val="center"/>
          </w:tcPr>
          <w:p>
            <w:pPr>
              <w:widowControl/>
              <w:jc w:val="center"/>
              <w:rPr>
                <w:rFonts w:hint="default" w:ascii="Times New Roman" w:hAnsi="Times New Roman" w:cs="Times New Roman"/>
                <w:kern w:val="0"/>
                <w:sz w:val="24"/>
              </w:rPr>
            </w:pPr>
          </w:p>
        </w:tc>
        <w:tc>
          <w:tcPr>
            <w:tcW w:w="2280" w:type="dxa"/>
            <w:vAlign w:val="center"/>
          </w:tcPr>
          <w:p>
            <w:pPr>
              <w:widowControl/>
              <w:jc w:val="center"/>
              <w:rPr>
                <w:rFonts w:hint="default" w:ascii="Times New Roman" w:hAnsi="Times New Roman" w:cs="Times New Roman"/>
                <w:kern w:val="0"/>
                <w:sz w:val="24"/>
              </w:rPr>
            </w:pPr>
          </w:p>
        </w:tc>
        <w:tc>
          <w:tcPr>
            <w:tcW w:w="1782" w:type="dxa"/>
            <w:vAlign w:val="center"/>
          </w:tcPr>
          <w:p>
            <w:pPr>
              <w:widowControl/>
              <w:jc w:val="center"/>
              <w:rPr>
                <w:rFonts w:hint="default" w:ascii="Times New Roman" w:hAnsi="Times New Roman"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752" w:type="dxa"/>
            <w:shd w:val="clear" w:color="auto" w:fill="auto"/>
            <w:vAlign w:val="center"/>
          </w:tcPr>
          <w:p>
            <w:pPr>
              <w:widowControl/>
              <w:jc w:val="center"/>
              <w:rPr>
                <w:rFonts w:hint="default" w:ascii="Times New Roman" w:hAnsi="Times New Roman" w:cs="Times New Roman"/>
                <w:kern w:val="0"/>
                <w:sz w:val="24"/>
              </w:rPr>
            </w:pPr>
          </w:p>
        </w:tc>
        <w:tc>
          <w:tcPr>
            <w:tcW w:w="2455" w:type="dxa"/>
            <w:shd w:val="clear" w:color="auto" w:fill="auto"/>
            <w:vAlign w:val="center"/>
          </w:tcPr>
          <w:p>
            <w:pPr>
              <w:widowControl/>
              <w:jc w:val="center"/>
              <w:rPr>
                <w:rFonts w:hint="default" w:ascii="Times New Roman" w:hAnsi="Times New Roman" w:cs="Times New Roman"/>
                <w:kern w:val="0"/>
                <w:sz w:val="24"/>
              </w:rPr>
            </w:pPr>
          </w:p>
        </w:tc>
        <w:tc>
          <w:tcPr>
            <w:tcW w:w="2313" w:type="dxa"/>
            <w:vAlign w:val="center"/>
          </w:tcPr>
          <w:p>
            <w:pPr>
              <w:widowControl/>
              <w:jc w:val="center"/>
              <w:rPr>
                <w:rFonts w:hint="default" w:ascii="Times New Roman" w:hAnsi="Times New Roman" w:cs="Times New Roman"/>
                <w:kern w:val="0"/>
                <w:sz w:val="24"/>
              </w:rPr>
            </w:pPr>
          </w:p>
        </w:tc>
        <w:tc>
          <w:tcPr>
            <w:tcW w:w="2280" w:type="dxa"/>
            <w:vAlign w:val="center"/>
          </w:tcPr>
          <w:p>
            <w:pPr>
              <w:widowControl/>
              <w:jc w:val="center"/>
              <w:rPr>
                <w:rFonts w:hint="default" w:ascii="Times New Roman" w:hAnsi="Times New Roman" w:cs="Times New Roman"/>
                <w:kern w:val="0"/>
                <w:sz w:val="24"/>
              </w:rPr>
            </w:pPr>
          </w:p>
        </w:tc>
        <w:tc>
          <w:tcPr>
            <w:tcW w:w="1782" w:type="dxa"/>
            <w:vAlign w:val="center"/>
          </w:tcPr>
          <w:p>
            <w:pPr>
              <w:widowControl/>
              <w:jc w:val="center"/>
              <w:rPr>
                <w:rFonts w:hint="default" w:ascii="Times New Roman" w:hAnsi="Times New Roman"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752" w:type="dxa"/>
            <w:shd w:val="clear" w:color="auto" w:fill="auto"/>
            <w:vAlign w:val="center"/>
          </w:tcPr>
          <w:p>
            <w:pPr>
              <w:widowControl/>
              <w:jc w:val="center"/>
              <w:rPr>
                <w:rFonts w:hint="default" w:ascii="Times New Roman" w:hAnsi="Times New Roman" w:cs="Times New Roman"/>
                <w:kern w:val="0"/>
                <w:sz w:val="24"/>
              </w:rPr>
            </w:pPr>
          </w:p>
        </w:tc>
        <w:tc>
          <w:tcPr>
            <w:tcW w:w="2455" w:type="dxa"/>
            <w:shd w:val="clear" w:color="auto" w:fill="auto"/>
            <w:vAlign w:val="center"/>
          </w:tcPr>
          <w:p>
            <w:pPr>
              <w:widowControl/>
              <w:jc w:val="center"/>
              <w:rPr>
                <w:rFonts w:hint="default" w:ascii="Times New Roman" w:hAnsi="Times New Roman" w:cs="Times New Roman"/>
                <w:kern w:val="0"/>
                <w:sz w:val="24"/>
              </w:rPr>
            </w:pPr>
          </w:p>
        </w:tc>
        <w:tc>
          <w:tcPr>
            <w:tcW w:w="2313" w:type="dxa"/>
            <w:vAlign w:val="center"/>
          </w:tcPr>
          <w:p>
            <w:pPr>
              <w:widowControl/>
              <w:jc w:val="center"/>
              <w:rPr>
                <w:rFonts w:hint="default" w:ascii="Times New Roman" w:hAnsi="Times New Roman" w:cs="Times New Roman"/>
                <w:kern w:val="0"/>
                <w:sz w:val="24"/>
              </w:rPr>
            </w:pPr>
          </w:p>
        </w:tc>
        <w:tc>
          <w:tcPr>
            <w:tcW w:w="2280" w:type="dxa"/>
            <w:vAlign w:val="center"/>
          </w:tcPr>
          <w:p>
            <w:pPr>
              <w:widowControl/>
              <w:jc w:val="center"/>
              <w:rPr>
                <w:rFonts w:hint="default" w:ascii="Times New Roman" w:hAnsi="Times New Roman" w:cs="Times New Roman"/>
                <w:kern w:val="0"/>
                <w:sz w:val="24"/>
              </w:rPr>
            </w:pPr>
          </w:p>
        </w:tc>
        <w:tc>
          <w:tcPr>
            <w:tcW w:w="1782" w:type="dxa"/>
            <w:vAlign w:val="center"/>
          </w:tcPr>
          <w:p>
            <w:pPr>
              <w:widowControl/>
              <w:jc w:val="center"/>
              <w:rPr>
                <w:rFonts w:hint="default" w:ascii="Times New Roman" w:hAnsi="Times New Roman"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752" w:type="dxa"/>
            <w:shd w:val="clear" w:color="auto" w:fill="auto"/>
            <w:vAlign w:val="center"/>
          </w:tcPr>
          <w:p>
            <w:pPr>
              <w:widowControl/>
              <w:jc w:val="center"/>
              <w:rPr>
                <w:rFonts w:hint="default" w:ascii="Times New Roman" w:hAnsi="Times New Roman" w:cs="Times New Roman"/>
                <w:kern w:val="0"/>
                <w:sz w:val="24"/>
              </w:rPr>
            </w:pPr>
          </w:p>
        </w:tc>
        <w:tc>
          <w:tcPr>
            <w:tcW w:w="2455" w:type="dxa"/>
            <w:shd w:val="clear" w:color="auto" w:fill="auto"/>
            <w:vAlign w:val="center"/>
          </w:tcPr>
          <w:p>
            <w:pPr>
              <w:widowControl/>
              <w:jc w:val="center"/>
              <w:rPr>
                <w:rFonts w:hint="default" w:ascii="Times New Roman" w:hAnsi="Times New Roman" w:cs="Times New Roman"/>
                <w:kern w:val="0"/>
                <w:sz w:val="24"/>
              </w:rPr>
            </w:pPr>
          </w:p>
        </w:tc>
        <w:tc>
          <w:tcPr>
            <w:tcW w:w="2313" w:type="dxa"/>
            <w:vAlign w:val="center"/>
          </w:tcPr>
          <w:p>
            <w:pPr>
              <w:widowControl/>
              <w:jc w:val="center"/>
              <w:rPr>
                <w:rFonts w:hint="default" w:ascii="Times New Roman" w:hAnsi="Times New Roman" w:cs="Times New Roman"/>
                <w:kern w:val="0"/>
                <w:sz w:val="24"/>
              </w:rPr>
            </w:pPr>
          </w:p>
        </w:tc>
        <w:tc>
          <w:tcPr>
            <w:tcW w:w="2280" w:type="dxa"/>
            <w:vAlign w:val="center"/>
          </w:tcPr>
          <w:p>
            <w:pPr>
              <w:widowControl/>
              <w:jc w:val="center"/>
              <w:rPr>
                <w:rFonts w:hint="default" w:ascii="Times New Roman" w:hAnsi="Times New Roman" w:cs="Times New Roman"/>
                <w:kern w:val="0"/>
                <w:sz w:val="24"/>
              </w:rPr>
            </w:pPr>
          </w:p>
        </w:tc>
        <w:tc>
          <w:tcPr>
            <w:tcW w:w="1782" w:type="dxa"/>
            <w:vAlign w:val="center"/>
          </w:tcPr>
          <w:p>
            <w:pPr>
              <w:widowControl/>
              <w:jc w:val="center"/>
              <w:rPr>
                <w:rFonts w:hint="default" w:ascii="Times New Roman" w:hAnsi="Times New Roman"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752" w:type="dxa"/>
            <w:shd w:val="clear" w:color="auto" w:fill="auto"/>
            <w:vAlign w:val="center"/>
          </w:tcPr>
          <w:p>
            <w:pPr>
              <w:widowControl/>
              <w:jc w:val="center"/>
              <w:rPr>
                <w:rFonts w:hint="default" w:ascii="Times New Roman" w:hAnsi="Times New Roman" w:cs="Times New Roman"/>
                <w:kern w:val="0"/>
                <w:sz w:val="24"/>
              </w:rPr>
            </w:pPr>
          </w:p>
        </w:tc>
        <w:tc>
          <w:tcPr>
            <w:tcW w:w="2455" w:type="dxa"/>
            <w:shd w:val="clear" w:color="auto" w:fill="auto"/>
            <w:vAlign w:val="center"/>
          </w:tcPr>
          <w:p>
            <w:pPr>
              <w:widowControl/>
              <w:jc w:val="center"/>
              <w:rPr>
                <w:rFonts w:hint="default" w:ascii="Times New Roman" w:hAnsi="Times New Roman" w:cs="Times New Roman"/>
                <w:kern w:val="0"/>
                <w:sz w:val="24"/>
              </w:rPr>
            </w:pPr>
          </w:p>
        </w:tc>
        <w:tc>
          <w:tcPr>
            <w:tcW w:w="2313" w:type="dxa"/>
            <w:vAlign w:val="center"/>
          </w:tcPr>
          <w:p>
            <w:pPr>
              <w:widowControl/>
              <w:jc w:val="center"/>
              <w:rPr>
                <w:rFonts w:hint="default" w:ascii="Times New Roman" w:hAnsi="Times New Roman" w:cs="Times New Roman"/>
                <w:kern w:val="0"/>
                <w:sz w:val="24"/>
              </w:rPr>
            </w:pPr>
          </w:p>
        </w:tc>
        <w:tc>
          <w:tcPr>
            <w:tcW w:w="2280" w:type="dxa"/>
            <w:vAlign w:val="center"/>
          </w:tcPr>
          <w:p>
            <w:pPr>
              <w:widowControl/>
              <w:jc w:val="center"/>
              <w:rPr>
                <w:rFonts w:hint="default" w:ascii="Times New Roman" w:hAnsi="Times New Roman" w:cs="Times New Roman"/>
                <w:kern w:val="0"/>
                <w:sz w:val="24"/>
              </w:rPr>
            </w:pPr>
          </w:p>
        </w:tc>
        <w:tc>
          <w:tcPr>
            <w:tcW w:w="1782" w:type="dxa"/>
            <w:vAlign w:val="center"/>
          </w:tcPr>
          <w:p>
            <w:pPr>
              <w:widowControl/>
              <w:jc w:val="center"/>
              <w:rPr>
                <w:rFonts w:hint="default" w:ascii="Times New Roman" w:hAnsi="Times New Roman"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582" w:type="dxa"/>
            <w:gridSpan w:val="5"/>
            <w:shd w:val="clear" w:color="auto" w:fill="auto"/>
            <w:vAlign w:val="center"/>
          </w:tcPr>
          <w:p>
            <w:pPr>
              <w:widowControl/>
              <w:jc w:val="left"/>
              <w:rPr>
                <w:rFonts w:hint="default" w:ascii="Times New Roman" w:hAnsi="Times New Roman" w:cs="Times New Roman"/>
                <w:kern w:val="0"/>
                <w:sz w:val="24"/>
              </w:rPr>
            </w:pPr>
            <w:r>
              <w:rPr>
                <w:rFonts w:hint="default" w:ascii="Times New Roman" w:hAnsi="Times New Roman" w:eastAsia="黑体" w:cs="Times New Roman"/>
              </w:rPr>
              <w:t>备注：评定等级仅代表本次评定周期内维保单位的质量信用，不代表维保单位以后的信用质量。</w:t>
            </w:r>
          </w:p>
        </w:tc>
      </w:tr>
    </w:tbl>
    <w:p>
      <w:pPr>
        <w:rPr>
          <w:rFonts w:hint="default" w:ascii="Times New Roman" w:hAnsi="Times New Roman" w:eastAsia="仿宋_GB2312" w:cs="Times New Roman"/>
          <w:sz w:val="28"/>
          <w:szCs w:val="28"/>
        </w:rPr>
        <w:sectPr>
          <w:pgSz w:w="16840" w:h="11907" w:orient="landscape"/>
          <w:pgMar w:top="1440" w:right="1080" w:bottom="1440" w:left="1080" w:header="624" w:footer="1021" w:gutter="0"/>
          <w:pgBorders>
            <w:top w:val="none" w:sz="0" w:space="0"/>
            <w:left w:val="none" w:sz="0" w:space="0"/>
            <w:bottom w:val="none" w:sz="0" w:space="0"/>
            <w:right w:val="none" w:sz="0" w:space="0"/>
          </w:pgBorders>
          <w:pgNumType w:fmt="numberInDash"/>
          <w:cols w:space="425" w:num="1"/>
          <w:docGrid w:linePitch="608" w:charSpace="-432"/>
        </w:sectPr>
      </w:pPr>
    </w:p>
    <w:p>
      <w:pPr>
        <w:rPr>
          <w:rFonts w:hint="default" w:ascii="Times New Roman" w:hAnsi="Times New Roman" w:eastAsia="黑体" w:cs="Times New Roman"/>
          <w:sz w:val="28"/>
          <w:szCs w:val="28"/>
        </w:rPr>
        <w:sectPr>
          <w:footerReference r:id="rId5" w:type="default"/>
          <w:footerReference r:id="rId6" w:type="even"/>
          <w:type w:val="continuous"/>
          <w:pgSz w:w="16840" w:h="11907" w:orient="landscape"/>
          <w:pgMar w:top="1440" w:right="1080" w:bottom="1440" w:left="1080" w:header="624" w:footer="1021" w:gutter="0"/>
          <w:pgBorders>
            <w:top w:val="none" w:sz="0" w:space="0"/>
            <w:left w:val="none" w:sz="0" w:space="0"/>
            <w:bottom w:val="none" w:sz="0" w:space="0"/>
            <w:right w:val="none" w:sz="0" w:space="0"/>
          </w:pgBorders>
          <w:cols w:space="425" w:num="1"/>
          <w:docGrid w:linePitch="608" w:charSpace="-432"/>
        </w:sectPr>
      </w:pPr>
    </w:p>
    <w:p>
      <w:pPr>
        <w:ind w:firstLine="560" w:firstLineChars="200"/>
        <w:rPr>
          <w:rFonts w:hint="default" w:ascii="Times New Roman" w:hAnsi="Times New Roman" w:eastAsia="黑体" w:cs="Times New Roman"/>
          <w:sz w:val="28"/>
          <w:szCs w:val="28"/>
          <w:lang w:eastAsia="zh-CN"/>
        </w:rPr>
      </w:pPr>
      <w:r>
        <w:rPr>
          <w:rFonts w:hint="default" w:ascii="Times New Roman" w:hAnsi="Times New Roman" w:eastAsia="黑体" w:cs="Times New Roman"/>
          <w:sz w:val="28"/>
          <w:szCs w:val="28"/>
        </w:rPr>
        <w:t>附件</w:t>
      </w:r>
      <w:r>
        <w:rPr>
          <w:rFonts w:hint="default" w:ascii="Times New Roman" w:hAnsi="Times New Roman" w:eastAsia="黑体" w:cs="Times New Roman"/>
          <w:sz w:val="28"/>
          <w:szCs w:val="28"/>
          <w:lang w:val="en-US" w:eastAsia="zh-CN"/>
        </w:rPr>
        <w:t>7</w:t>
      </w:r>
    </w:p>
    <w:p>
      <w:pPr>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维保单位基础信用信息告知资料</w:t>
      </w:r>
    </w:p>
    <w:p>
      <w:pPr>
        <w:jc w:val="center"/>
        <w:rPr>
          <w:rFonts w:hint="default" w:ascii="Times New Roman" w:hAnsi="Times New Roman" w:eastAsia="黑体" w:cs="Times New Roman"/>
          <w:sz w:val="28"/>
          <w:szCs w:val="28"/>
        </w:rPr>
      </w:pPr>
    </w:p>
    <w:tbl>
      <w:tblPr>
        <w:tblStyle w:val="8"/>
        <w:tblW w:w="14641" w:type="dxa"/>
        <w:tblInd w:w="93" w:type="dxa"/>
        <w:tblLayout w:type="autofit"/>
        <w:tblCellMar>
          <w:top w:w="0" w:type="dxa"/>
          <w:left w:w="108" w:type="dxa"/>
          <w:bottom w:w="0" w:type="dxa"/>
          <w:right w:w="108" w:type="dxa"/>
        </w:tblCellMar>
      </w:tblPr>
      <w:tblGrid>
        <w:gridCol w:w="1008"/>
        <w:gridCol w:w="3340"/>
        <w:gridCol w:w="10293"/>
      </w:tblGrid>
      <w:tr>
        <w:tblPrEx>
          <w:tblCellMar>
            <w:top w:w="0" w:type="dxa"/>
            <w:left w:w="108" w:type="dxa"/>
            <w:bottom w:w="0" w:type="dxa"/>
            <w:right w:w="108" w:type="dxa"/>
          </w:tblCellMar>
        </w:tblPrEx>
        <w:trPr>
          <w:trHeight w:val="348" w:hRule="atLeast"/>
        </w:trPr>
        <w:tc>
          <w:tcPr>
            <w:tcW w:w="10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黑体" w:cs="Times New Roman"/>
                <w:color w:val="000000"/>
                <w:kern w:val="0"/>
                <w:szCs w:val="21"/>
              </w:rPr>
            </w:pPr>
            <w:r>
              <w:rPr>
                <w:rFonts w:hint="default" w:ascii="Times New Roman" w:hAnsi="Times New Roman" w:eastAsia="黑体" w:cs="Times New Roman"/>
                <w:color w:val="000000"/>
                <w:kern w:val="0"/>
                <w:szCs w:val="21"/>
              </w:rPr>
              <w:t>序号</w:t>
            </w:r>
          </w:p>
        </w:tc>
        <w:tc>
          <w:tcPr>
            <w:tcW w:w="33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黑体" w:cs="Times New Roman"/>
                <w:color w:val="000000"/>
                <w:kern w:val="0"/>
                <w:szCs w:val="21"/>
              </w:rPr>
            </w:pPr>
            <w:r>
              <w:rPr>
                <w:rFonts w:hint="default" w:ascii="Times New Roman" w:hAnsi="Times New Roman" w:eastAsia="黑体" w:cs="Times New Roman"/>
                <w:color w:val="000000"/>
                <w:kern w:val="0"/>
                <w:szCs w:val="21"/>
              </w:rPr>
              <w:t>资料名称</w:t>
            </w:r>
          </w:p>
        </w:tc>
        <w:tc>
          <w:tcPr>
            <w:tcW w:w="102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黑体" w:cs="Times New Roman"/>
                <w:color w:val="000000"/>
                <w:kern w:val="0"/>
                <w:szCs w:val="21"/>
              </w:rPr>
            </w:pPr>
            <w:r>
              <w:rPr>
                <w:rFonts w:hint="default" w:ascii="Times New Roman" w:hAnsi="Times New Roman" w:eastAsia="黑体" w:cs="Times New Roman"/>
                <w:color w:val="000000"/>
                <w:kern w:val="0"/>
                <w:szCs w:val="21"/>
              </w:rPr>
              <w:t>资料要求</w:t>
            </w:r>
          </w:p>
        </w:tc>
      </w:tr>
      <w:tr>
        <w:tblPrEx>
          <w:tblCellMar>
            <w:top w:w="0" w:type="dxa"/>
            <w:left w:w="108" w:type="dxa"/>
            <w:bottom w:w="0" w:type="dxa"/>
            <w:right w:w="108" w:type="dxa"/>
          </w:tblCellMar>
        </w:tblPrEx>
        <w:trPr>
          <w:trHeight w:val="563" w:hRule="atLeast"/>
        </w:trPr>
        <w:tc>
          <w:tcPr>
            <w:tcW w:w="10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1</w:t>
            </w:r>
          </w:p>
        </w:tc>
        <w:tc>
          <w:tcPr>
            <w:tcW w:w="3340"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单位资格</w:t>
            </w:r>
          </w:p>
        </w:tc>
        <w:tc>
          <w:tcPr>
            <w:tcW w:w="10293"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在系统注册账号，并填报相关信息，扫描营业执照和特种设备许可证原件并上传</w:t>
            </w:r>
          </w:p>
        </w:tc>
      </w:tr>
      <w:tr>
        <w:tblPrEx>
          <w:tblCellMar>
            <w:top w:w="0" w:type="dxa"/>
            <w:left w:w="108" w:type="dxa"/>
            <w:bottom w:w="0" w:type="dxa"/>
            <w:right w:w="108" w:type="dxa"/>
          </w:tblCellMar>
        </w:tblPrEx>
        <w:trPr>
          <w:trHeight w:val="482" w:hRule="atLeast"/>
        </w:trPr>
        <w:tc>
          <w:tcPr>
            <w:tcW w:w="100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2</w:t>
            </w:r>
          </w:p>
        </w:tc>
        <w:tc>
          <w:tcPr>
            <w:tcW w:w="3340" w:type="dxa"/>
            <w:vMerge w:val="restart"/>
            <w:tcBorders>
              <w:top w:val="nil"/>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人员条件</w:t>
            </w:r>
          </w:p>
        </w:tc>
        <w:tc>
          <w:tcPr>
            <w:tcW w:w="10293"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扫描常驻乐山现场负责人任命书原件上传系统</w:t>
            </w:r>
          </w:p>
        </w:tc>
      </w:tr>
      <w:tr>
        <w:tblPrEx>
          <w:tblCellMar>
            <w:top w:w="0" w:type="dxa"/>
            <w:left w:w="108" w:type="dxa"/>
            <w:bottom w:w="0" w:type="dxa"/>
            <w:right w:w="108" w:type="dxa"/>
          </w:tblCellMar>
        </w:tblPrEx>
        <w:trPr>
          <w:trHeight w:val="776" w:hRule="atLeast"/>
        </w:trPr>
        <w:tc>
          <w:tcPr>
            <w:tcW w:w="1008"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Cs w:val="21"/>
              </w:rPr>
            </w:pPr>
          </w:p>
        </w:tc>
        <w:tc>
          <w:tcPr>
            <w:tcW w:w="3340" w:type="dxa"/>
            <w:vMerge w:val="continue"/>
            <w:tcBorders>
              <w:top w:val="nil"/>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000000"/>
                <w:kern w:val="0"/>
                <w:szCs w:val="21"/>
              </w:rPr>
            </w:pPr>
          </w:p>
        </w:tc>
        <w:tc>
          <w:tcPr>
            <w:tcW w:w="10293"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现场负责人、其他常驻人员特种设备作业人员证，2人及以上，证书在有效期内，聘用栏内容齐全（验原件），并在系统中填报相关信息，扫描作业人员证书和签名样本上传系统</w:t>
            </w:r>
          </w:p>
        </w:tc>
      </w:tr>
      <w:tr>
        <w:tblPrEx>
          <w:tblCellMar>
            <w:top w:w="0" w:type="dxa"/>
            <w:left w:w="108" w:type="dxa"/>
            <w:bottom w:w="0" w:type="dxa"/>
            <w:right w:w="108" w:type="dxa"/>
          </w:tblCellMar>
        </w:tblPrEx>
        <w:trPr>
          <w:trHeight w:val="348" w:hRule="atLeast"/>
        </w:trPr>
        <w:tc>
          <w:tcPr>
            <w:tcW w:w="10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3</w:t>
            </w:r>
          </w:p>
        </w:tc>
        <w:tc>
          <w:tcPr>
            <w:tcW w:w="3340"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维保电梯清单</w:t>
            </w:r>
          </w:p>
        </w:tc>
        <w:tc>
          <w:tcPr>
            <w:tcW w:w="10293"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在系统中认领、解绑相关维保的电梯，发现电梯数据有误应及时反馈监管部门</w:t>
            </w:r>
          </w:p>
        </w:tc>
      </w:tr>
      <w:tr>
        <w:tblPrEx>
          <w:tblCellMar>
            <w:top w:w="0" w:type="dxa"/>
            <w:left w:w="108" w:type="dxa"/>
            <w:bottom w:w="0" w:type="dxa"/>
            <w:right w:w="108" w:type="dxa"/>
          </w:tblCellMar>
        </w:tblPrEx>
        <w:trPr>
          <w:trHeight w:val="656" w:hRule="atLeast"/>
        </w:trPr>
        <w:tc>
          <w:tcPr>
            <w:tcW w:w="10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4</w:t>
            </w:r>
          </w:p>
        </w:tc>
        <w:tc>
          <w:tcPr>
            <w:tcW w:w="3340"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必备设备、设施、工具仪器等材料</w:t>
            </w:r>
          </w:p>
        </w:tc>
        <w:tc>
          <w:tcPr>
            <w:tcW w:w="10293"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与本单位在乐山承担维保工作相适应的维保设备、工具、仪器等必备设施清单，加盖鲜章</w:t>
            </w:r>
          </w:p>
        </w:tc>
      </w:tr>
      <w:tr>
        <w:tblPrEx>
          <w:tblCellMar>
            <w:top w:w="0" w:type="dxa"/>
            <w:left w:w="108" w:type="dxa"/>
            <w:bottom w:w="0" w:type="dxa"/>
            <w:right w:w="108" w:type="dxa"/>
          </w:tblCellMar>
        </w:tblPrEx>
        <w:trPr>
          <w:trHeight w:val="1384" w:hRule="atLeast"/>
        </w:trPr>
        <w:tc>
          <w:tcPr>
            <w:tcW w:w="10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5</w:t>
            </w:r>
          </w:p>
        </w:tc>
        <w:tc>
          <w:tcPr>
            <w:tcW w:w="3340"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承诺书</w:t>
            </w:r>
          </w:p>
        </w:tc>
        <w:tc>
          <w:tcPr>
            <w:tcW w:w="10293"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内容应包含：承诺对告知的资质证明材料真实性负责、主动接受乐山市特种设备安全监管部门依照《中华人民共和国特种设备安全法》、《四川省电梯安全监督管理办法》和《乐山市电梯维保单位质量信用管理细则》开展的监督检查并严格按照《中华人民共和国特种设备安全法》规定和安全技术规范的要求进行电梯维护保养。法定代表人签字、联系方式、单位盖章。</w:t>
            </w:r>
          </w:p>
        </w:tc>
      </w:tr>
      <w:tr>
        <w:tblPrEx>
          <w:tblCellMar>
            <w:top w:w="0" w:type="dxa"/>
            <w:left w:w="108" w:type="dxa"/>
            <w:bottom w:w="0" w:type="dxa"/>
            <w:right w:w="108" w:type="dxa"/>
          </w:tblCellMar>
        </w:tblPrEx>
        <w:trPr>
          <w:trHeight w:val="348" w:hRule="atLeast"/>
        </w:trPr>
        <w:tc>
          <w:tcPr>
            <w:tcW w:w="10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6</w:t>
            </w:r>
          </w:p>
        </w:tc>
        <w:tc>
          <w:tcPr>
            <w:tcW w:w="3340"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固定办公场所</w:t>
            </w:r>
          </w:p>
        </w:tc>
        <w:tc>
          <w:tcPr>
            <w:tcW w:w="10293"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房屋产权证明或1年以上房屋使用证明（验原件），并提交加盖单位鲜章复印件。</w:t>
            </w:r>
          </w:p>
        </w:tc>
      </w:tr>
      <w:tr>
        <w:tblPrEx>
          <w:tblCellMar>
            <w:top w:w="0" w:type="dxa"/>
            <w:left w:w="108" w:type="dxa"/>
            <w:bottom w:w="0" w:type="dxa"/>
            <w:right w:w="108" w:type="dxa"/>
          </w:tblCellMar>
        </w:tblPrEx>
        <w:trPr>
          <w:trHeight w:val="656" w:hRule="atLeast"/>
        </w:trPr>
        <w:tc>
          <w:tcPr>
            <w:tcW w:w="100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7</w:t>
            </w:r>
          </w:p>
        </w:tc>
        <w:tc>
          <w:tcPr>
            <w:tcW w:w="3340"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维保驻点撤销告知</w:t>
            </w:r>
          </w:p>
        </w:tc>
        <w:tc>
          <w:tcPr>
            <w:tcW w:w="10293" w:type="dxa"/>
            <w:tcBorders>
              <w:top w:val="nil"/>
              <w:left w:val="nil"/>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告知内容包含：在乐山无维保业务，之前的维保业务已交接完毕，现自愿撤销乐山维保驻点。原件加盖单位鲜章。</w:t>
            </w:r>
          </w:p>
        </w:tc>
      </w:tr>
      <w:tr>
        <w:tblPrEx>
          <w:tblCellMar>
            <w:top w:w="0" w:type="dxa"/>
            <w:left w:w="108" w:type="dxa"/>
            <w:bottom w:w="0" w:type="dxa"/>
            <w:right w:w="108" w:type="dxa"/>
          </w:tblCellMar>
        </w:tblPrEx>
        <w:trPr>
          <w:trHeight w:val="1361" w:hRule="atLeast"/>
        </w:trPr>
        <w:tc>
          <w:tcPr>
            <w:tcW w:w="1464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eastAsia="黑体" w:cs="Times New Roman"/>
                <w:color w:val="000000"/>
                <w:kern w:val="0"/>
                <w:szCs w:val="21"/>
              </w:rPr>
            </w:pPr>
            <w:r>
              <w:rPr>
                <w:rFonts w:hint="default" w:ascii="Times New Roman" w:hAnsi="Times New Roman" w:eastAsia="黑体" w:cs="Times New Roman"/>
                <w:color w:val="000000"/>
                <w:kern w:val="0"/>
                <w:szCs w:val="21"/>
              </w:rPr>
              <w:t>备注：内容发生变更时，应在变更后15日内按上述要求提交相应资料。“人员条件”作业人员证原件的核验和人员的备案不准确不及时的扣分由市局负责。其他扣分由区县局负责。</w:t>
            </w:r>
          </w:p>
        </w:tc>
      </w:tr>
    </w:tbl>
    <w:p>
      <w:pPr>
        <w:jc w:val="center"/>
        <w:rPr>
          <w:rFonts w:hint="default" w:ascii="Times New Roman" w:hAnsi="Times New Roman" w:eastAsia="黑体" w:cs="Times New Roman"/>
          <w:sz w:val="28"/>
          <w:szCs w:val="28"/>
        </w:rPr>
        <w:sectPr>
          <w:pgSz w:w="16840" w:h="11907" w:orient="landscape"/>
          <w:pgMar w:top="1440" w:right="1080" w:bottom="1440" w:left="1080" w:header="624" w:footer="1021" w:gutter="0"/>
          <w:pgBorders>
            <w:top w:val="none" w:sz="0" w:space="0"/>
            <w:left w:val="none" w:sz="0" w:space="0"/>
            <w:bottom w:val="none" w:sz="0" w:space="0"/>
            <w:right w:val="none" w:sz="0" w:space="0"/>
          </w:pgBorders>
          <w:pgNumType w:fmt="numberInDash"/>
          <w:cols w:space="425" w:num="1"/>
          <w:docGrid w:linePitch="608" w:charSpace="-432"/>
        </w:sectPr>
      </w:pPr>
    </w:p>
    <w:p>
      <w:pPr>
        <w:ind w:firstLine="560" w:firstLineChars="200"/>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rPr>
        <w:t>附件</w:t>
      </w:r>
      <w:r>
        <w:rPr>
          <w:rFonts w:hint="default" w:ascii="Times New Roman" w:hAnsi="Times New Roman" w:eastAsia="黑体" w:cs="Times New Roman"/>
          <w:sz w:val="28"/>
          <w:szCs w:val="28"/>
          <w:lang w:val="en-US" w:eastAsia="zh-CN"/>
        </w:rPr>
        <w:t>8</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电梯使用单位对维保单位满意度测评表</w:t>
      </w:r>
    </w:p>
    <w:tbl>
      <w:tblPr>
        <w:tblStyle w:val="8"/>
        <w:tblpPr w:leftFromText="180" w:rightFromText="180" w:vertAnchor="page" w:horzAnchor="margin" w:tblpXSpec="center" w:tblpY="33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9"/>
        <w:gridCol w:w="2552"/>
        <w:gridCol w:w="2693"/>
        <w:gridCol w:w="2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4219" w:type="dxa"/>
            <w:vMerge w:val="restart"/>
            <w:vAlign w:val="center"/>
          </w:tcPr>
          <w:p>
            <w:pPr>
              <w:spacing w:line="570" w:lineRule="exact"/>
              <w:jc w:val="center"/>
              <w:rPr>
                <w:rFonts w:hint="default" w:ascii="Times New Roman" w:hAnsi="Times New Roman" w:eastAsia="黑体" w:cs="Times New Roman"/>
                <w:sz w:val="30"/>
              </w:rPr>
            </w:pPr>
            <w:r>
              <w:rPr>
                <w:rFonts w:hint="default" w:ascii="Times New Roman" w:hAnsi="Times New Roman" w:eastAsia="黑体" w:cs="Times New Roman"/>
                <w:sz w:val="30"/>
              </w:rPr>
              <w:t>测评对象</w:t>
            </w:r>
          </w:p>
          <w:p>
            <w:pPr>
              <w:spacing w:line="570" w:lineRule="exact"/>
              <w:jc w:val="center"/>
              <w:rPr>
                <w:rFonts w:hint="default" w:ascii="Times New Roman" w:hAnsi="Times New Roman" w:eastAsia="黑体" w:cs="Times New Roman"/>
                <w:sz w:val="24"/>
              </w:rPr>
            </w:pPr>
            <w:r>
              <w:rPr>
                <w:rFonts w:hint="default" w:ascii="Times New Roman" w:hAnsi="Times New Roman" w:eastAsia="黑体" w:cs="Times New Roman"/>
                <w:sz w:val="24"/>
              </w:rPr>
              <w:t>（电梯维保单位名称）</w:t>
            </w:r>
          </w:p>
        </w:tc>
        <w:tc>
          <w:tcPr>
            <w:tcW w:w="7821" w:type="dxa"/>
            <w:gridSpan w:val="3"/>
            <w:vAlign w:val="center"/>
          </w:tcPr>
          <w:p>
            <w:pPr>
              <w:spacing w:line="570" w:lineRule="exact"/>
              <w:jc w:val="center"/>
              <w:rPr>
                <w:rFonts w:hint="default" w:ascii="Times New Roman" w:hAnsi="Times New Roman" w:eastAsia="黑体" w:cs="Times New Roman"/>
                <w:sz w:val="30"/>
              </w:rPr>
            </w:pPr>
            <w:r>
              <w:rPr>
                <w:rFonts w:hint="default" w:ascii="Times New Roman" w:hAnsi="Times New Roman" w:eastAsia="黑体" w:cs="Times New Roman"/>
                <w:sz w:val="30"/>
              </w:rPr>
              <w:t>评价情况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4219" w:type="dxa"/>
            <w:vMerge w:val="continue"/>
            <w:vAlign w:val="center"/>
          </w:tcPr>
          <w:p>
            <w:pPr>
              <w:spacing w:line="570" w:lineRule="exact"/>
              <w:jc w:val="center"/>
              <w:rPr>
                <w:rFonts w:hint="default" w:ascii="Times New Roman" w:hAnsi="Times New Roman" w:eastAsia="黑体" w:cs="Times New Roman"/>
                <w:sz w:val="30"/>
              </w:rPr>
            </w:pPr>
          </w:p>
        </w:tc>
        <w:tc>
          <w:tcPr>
            <w:tcW w:w="2552" w:type="dxa"/>
            <w:vAlign w:val="center"/>
          </w:tcPr>
          <w:p>
            <w:pPr>
              <w:spacing w:line="570" w:lineRule="exact"/>
              <w:jc w:val="center"/>
              <w:rPr>
                <w:rFonts w:hint="default" w:ascii="Times New Roman" w:hAnsi="Times New Roman" w:eastAsia="黑体" w:cs="Times New Roman"/>
                <w:sz w:val="30"/>
              </w:rPr>
            </w:pPr>
            <w:r>
              <w:rPr>
                <w:rFonts w:hint="default" w:ascii="Times New Roman" w:hAnsi="Times New Roman" w:eastAsia="黑体" w:cs="Times New Roman"/>
                <w:sz w:val="30"/>
              </w:rPr>
              <w:t>满意</w:t>
            </w:r>
          </w:p>
        </w:tc>
        <w:tc>
          <w:tcPr>
            <w:tcW w:w="2693" w:type="dxa"/>
            <w:vAlign w:val="center"/>
          </w:tcPr>
          <w:p>
            <w:pPr>
              <w:spacing w:line="570" w:lineRule="exact"/>
              <w:jc w:val="center"/>
              <w:rPr>
                <w:rFonts w:hint="default" w:ascii="Times New Roman" w:hAnsi="Times New Roman" w:eastAsia="黑体" w:cs="Times New Roman"/>
                <w:sz w:val="30"/>
              </w:rPr>
            </w:pPr>
            <w:r>
              <w:rPr>
                <w:rFonts w:hint="default" w:ascii="Times New Roman" w:hAnsi="Times New Roman" w:eastAsia="黑体" w:cs="Times New Roman"/>
                <w:sz w:val="30"/>
              </w:rPr>
              <w:t>基本满意</w:t>
            </w:r>
          </w:p>
        </w:tc>
        <w:tc>
          <w:tcPr>
            <w:tcW w:w="2576" w:type="dxa"/>
            <w:vAlign w:val="center"/>
          </w:tcPr>
          <w:p>
            <w:pPr>
              <w:spacing w:line="570" w:lineRule="exact"/>
              <w:jc w:val="center"/>
              <w:rPr>
                <w:rFonts w:hint="default" w:ascii="Times New Roman" w:hAnsi="Times New Roman" w:eastAsia="黑体" w:cs="Times New Roman"/>
                <w:sz w:val="30"/>
              </w:rPr>
            </w:pPr>
            <w:r>
              <w:rPr>
                <w:rFonts w:hint="default" w:ascii="Times New Roman" w:hAnsi="Times New Roman" w:eastAsia="黑体" w:cs="Times New Roman"/>
                <w:sz w:val="30"/>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4219" w:type="dxa"/>
            <w:vAlign w:val="center"/>
          </w:tcPr>
          <w:p>
            <w:pPr>
              <w:spacing w:line="570" w:lineRule="exact"/>
              <w:jc w:val="center"/>
              <w:rPr>
                <w:rFonts w:hint="default" w:ascii="Times New Roman" w:hAnsi="Times New Roman" w:eastAsia="方正黑体简体" w:cs="Times New Roman"/>
                <w:sz w:val="30"/>
              </w:rPr>
            </w:pPr>
          </w:p>
        </w:tc>
        <w:tc>
          <w:tcPr>
            <w:tcW w:w="2552" w:type="dxa"/>
            <w:vAlign w:val="center"/>
          </w:tcPr>
          <w:p>
            <w:pPr>
              <w:spacing w:line="570" w:lineRule="exact"/>
              <w:jc w:val="center"/>
              <w:rPr>
                <w:rFonts w:hint="default" w:ascii="Times New Roman" w:hAnsi="Times New Roman" w:eastAsia="方正黑体简体" w:cs="Times New Roman"/>
                <w:sz w:val="30"/>
              </w:rPr>
            </w:pPr>
          </w:p>
        </w:tc>
        <w:tc>
          <w:tcPr>
            <w:tcW w:w="2693" w:type="dxa"/>
            <w:vAlign w:val="center"/>
          </w:tcPr>
          <w:p>
            <w:pPr>
              <w:spacing w:line="570" w:lineRule="exact"/>
              <w:jc w:val="center"/>
              <w:rPr>
                <w:rFonts w:hint="default" w:ascii="Times New Roman" w:hAnsi="Times New Roman" w:eastAsia="方正黑体简体" w:cs="Times New Roman"/>
                <w:sz w:val="30"/>
              </w:rPr>
            </w:pPr>
          </w:p>
        </w:tc>
        <w:tc>
          <w:tcPr>
            <w:tcW w:w="2576" w:type="dxa"/>
            <w:vAlign w:val="center"/>
          </w:tcPr>
          <w:p>
            <w:pPr>
              <w:spacing w:line="570" w:lineRule="exact"/>
              <w:jc w:val="center"/>
              <w:rPr>
                <w:rFonts w:hint="default" w:ascii="Times New Roman" w:hAnsi="Times New Roman" w:eastAsia="方正黑体简体" w:cs="Times New Roman"/>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219" w:type="dxa"/>
            <w:vAlign w:val="center"/>
          </w:tcPr>
          <w:p>
            <w:pPr>
              <w:spacing w:line="570" w:lineRule="exact"/>
              <w:jc w:val="center"/>
              <w:rPr>
                <w:rFonts w:hint="default" w:ascii="Times New Roman" w:hAnsi="Times New Roman" w:eastAsia="方正黑体简体" w:cs="Times New Roman"/>
                <w:sz w:val="30"/>
              </w:rPr>
            </w:pPr>
          </w:p>
        </w:tc>
        <w:tc>
          <w:tcPr>
            <w:tcW w:w="2552" w:type="dxa"/>
            <w:vAlign w:val="center"/>
          </w:tcPr>
          <w:p>
            <w:pPr>
              <w:spacing w:line="570" w:lineRule="exact"/>
              <w:jc w:val="center"/>
              <w:rPr>
                <w:rFonts w:hint="default" w:ascii="Times New Roman" w:hAnsi="Times New Roman" w:eastAsia="方正黑体简体" w:cs="Times New Roman"/>
                <w:sz w:val="30"/>
              </w:rPr>
            </w:pPr>
          </w:p>
        </w:tc>
        <w:tc>
          <w:tcPr>
            <w:tcW w:w="2693" w:type="dxa"/>
            <w:vAlign w:val="center"/>
          </w:tcPr>
          <w:p>
            <w:pPr>
              <w:spacing w:line="570" w:lineRule="exact"/>
              <w:jc w:val="center"/>
              <w:rPr>
                <w:rFonts w:hint="default" w:ascii="Times New Roman" w:hAnsi="Times New Roman" w:eastAsia="方正黑体简体" w:cs="Times New Roman"/>
                <w:sz w:val="30"/>
              </w:rPr>
            </w:pPr>
          </w:p>
        </w:tc>
        <w:tc>
          <w:tcPr>
            <w:tcW w:w="2576" w:type="dxa"/>
            <w:vAlign w:val="center"/>
          </w:tcPr>
          <w:p>
            <w:pPr>
              <w:spacing w:line="570" w:lineRule="exact"/>
              <w:jc w:val="center"/>
              <w:rPr>
                <w:rFonts w:hint="default" w:ascii="Times New Roman" w:hAnsi="Times New Roman" w:eastAsia="方正黑体简体" w:cs="Times New Roman"/>
                <w:sz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9" w:hRule="atLeast"/>
        </w:trPr>
        <w:tc>
          <w:tcPr>
            <w:tcW w:w="4219" w:type="dxa"/>
            <w:vAlign w:val="center"/>
          </w:tcPr>
          <w:p>
            <w:pPr>
              <w:spacing w:line="570" w:lineRule="exact"/>
              <w:jc w:val="center"/>
              <w:rPr>
                <w:rFonts w:hint="default" w:ascii="Times New Roman" w:hAnsi="Times New Roman" w:eastAsia="方正黑体简体" w:cs="Times New Roman"/>
                <w:sz w:val="30"/>
              </w:rPr>
            </w:pPr>
            <w:r>
              <w:rPr>
                <w:rFonts w:hint="default" w:ascii="Times New Roman" w:hAnsi="Times New Roman" w:eastAsia="方正黑体简体" w:cs="Times New Roman"/>
                <w:sz w:val="30"/>
              </w:rPr>
              <w:t>备注</w:t>
            </w:r>
          </w:p>
        </w:tc>
        <w:tc>
          <w:tcPr>
            <w:tcW w:w="7821" w:type="dxa"/>
            <w:gridSpan w:val="3"/>
            <w:vAlign w:val="center"/>
          </w:tcPr>
          <w:p>
            <w:pPr>
              <w:spacing w:line="570" w:lineRule="exact"/>
              <w:rPr>
                <w:rFonts w:hint="default" w:ascii="Times New Roman" w:hAnsi="Times New Roman" w:eastAsia="黑体" w:cs="Times New Roman"/>
                <w:sz w:val="30"/>
              </w:rPr>
            </w:pPr>
            <w:r>
              <w:rPr>
                <w:rFonts w:hint="default" w:ascii="Times New Roman" w:hAnsi="Times New Roman" w:eastAsia="黑体" w:cs="Times New Roman"/>
                <w:color w:val="auto"/>
                <w:sz w:val="30"/>
              </w:rPr>
              <w:t>此表由</w:t>
            </w:r>
            <w:r>
              <w:rPr>
                <w:rFonts w:hint="default" w:ascii="Times New Roman" w:hAnsi="Times New Roman" w:eastAsia="黑体" w:cs="Times New Roman"/>
                <w:color w:val="auto"/>
                <w:sz w:val="30"/>
                <w:lang w:eastAsia="zh-CN"/>
              </w:rPr>
              <w:t>检验机构</w:t>
            </w:r>
            <w:r>
              <w:rPr>
                <w:rFonts w:hint="default" w:ascii="Times New Roman" w:hAnsi="Times New Roman" w:eastAsia="黑体" w:cs="Times New Roman"/>
                <w:color w:val="auto"/>
                <w:sz w:val="30"/>
              </w:rPr>
              <w:t>发给使用单位填写（在所选项目栏打√），聘用多个维保单位或同一年内涉及不同维保单位交接的使用单位，对相关维保单位均可作出评价。</w:t>
            </w:r>
          </w:p>
        </w:tc>
      </w:tr>
    </w:tbl>
    <w:p>
      <w:pPr>
        <w:jc w:val="center"/>
        <w:rPr>
          <w:rFonts w:hint="eastAsia" w:ascii="Times New Roman" w:hAnsi="Times New Roman" w:eastAsia="黑体" w:cs="Times New Roman"/>
          <w:szCs w:val="32"/>
          <w:lang w:eastAsia="zh-CN"/>
        </w:rPr>
      </w:pPr>
    </w:p>
    <w:p>
      <w:pPr>
        <w:jc w:val="center"/>
        <w:rPr>
          <w:rFonts w:hint="default" w:ascii="Times New Roman" w:hAnsi="Times New Roman" w:eastAsia="黑体" w:cs="Times New Roman"/>
          <w:szCs w:val="32"/>
        </w:rPr>
      </w:pPr>
    </w:p>
    <w:p>
      <w:pPr>
        <w:ind w:firstLine="1600" w:firstLineChars="5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单位</w:t>
      </w:r>
      <w:r>
        <w:rPr>
          <w:rFonts w:hint="eastAsia" w:eastAsia="黑体" w:cs="Times New Roman"/>
          <w:sz w:val="32"/>
          <w:szCs w:val="32"/>
          <w:lang w:eastAsia="zh-CN"/>
        </w:rPr>
        <w:t>名称</w:t>
      </w:r>
      <w:r>
        <w:rPr>
          <w:rFonts w:hint="default" w:ascii="Times New Roman" w:hAnsi="Times New Roman" w:eastAsia="黑体" w:cs="Times New Roman"/>
          <w:sz w:val="32"/>
          <w:szCs w:val="32"/>
        </w:rPr>
        <w:t xml:space="preserve">：  </w:t>
      </w:r>
      <w:r>
        <w:rPr>
          <w:rFonts w:hint="eastAsia" w:eastAsia="黑体" w:cs="Times New Roman"/>
          <w:sz w:val="32"/>
          <w:szCs w:val="32"/>
          <w:lang w:val="en-US" w:eastAsia="zh-CN"/>
        </w:rPr>
        <w:t xml:space="preserve">            </w:t>
      </w:r>
      <w:r>
        <w:rPr>
          <w:rFonts w:hint="default" w:ascii="Times New Roman" w:hAnsi="Times New Roman" w:eastAsia="黑体" w:cs="Times New Roman"/>
          <w:sz w:val="32"/>
          <w:szCs w:val="32"/>
        </w:rPr>
        <w:t xml:space="preserve">                       填报时间：</w:t>
      </w:r>
    </w:p>
    <w:p>
      <w:pPr>
        <w:ind w:firstLine="1600" w:firstLineChars="500"/>
        <w:rPr>
          <w:rFonts w:hint="default" w:ascii="Times New Roman" w:hAnsi="Times New Roman" w:eastAsia="黑体" w:cs="Times New Roman"/>
          <w:sz w:val="32"/>
          <w:szCs w:val="32"/>
        </w:rPr>
      </w:pPr>
    </w:p>
    <w:p>
      <w:pPr>
        <w:ind w:firstLine="1600" w:firstLineChars="500"/>
        <w:rPr>
          <w:rFonts w:hint="default" w:ascii="Times New Roman" w:hAnsi="Times New Roman" w:eastAsia="黑体" w:cs="Times New Roman"/>
          <w:sz w:val="32"/>
          <w:szCs w:val="32"/>
        </w:rPr>
      </w:pPr>
    </w:p>
    <w:p>
      <w:pPr>
        <w:ind w:firstLine="1600" w:firstLineChars="500"/>
        <w:rPr>
          <w:rFonts w:hint="default" w:ascii="Times New Roman" w:hAnsi="Times New Roman" w:eastAsia="黑体" w:cs="Times New Roman"/>
          <w:sz w:val="32"/>
          <w:szCs w:val="32"/>
        </w:rPr>
      </w:pPr>
    </w:p>
    <w:p>
      <w:pPr>
        <w:ind w:firstLine="1600" w:firstLineChars="500"/>
        <w:rPr>
          <w:rFonts w:hint="default" w:ascii="Times New Roman" w:hAnsi="Times New Roman" w:eastAsia="黑体" w:cs="Times New Roman"/>
          <w:sz w:val="32"/>
          <w:szCs w:val="32"/>
        </w:rPr>
      </w:pPr>
    </w:p>
    <w:p>
      <w:pPr>
        <w:ind w:firstLine="1600" w:firstLineChars="500"/>
        <w:rPr>
          <w:rFonts w:hint="default" w:ascii="Times New Roman" w:hAnsi="Times New Roman" w:eastAsia="黑体" w:cs="Times New Roman"/>
          <w:sz w:val="32"/>
          <w:szCs w:val="32"/>
        </w:rPr>
      </w:pPr>
    </w:p>
    <w:p>
      <w:pPr>
        <w:ind w:firstLine="1600" w:firstLineChars="500"/>
        <w:rPr>
          <w:rFonts w:hint="default" w:ascii="Times New Roman" w:hAnsi="Times New Roman" w:eastAsia="黑体" w:cs="Times New Roman"/>
          <w:sz w:val="32"/>
          <w:szCs w:val="32"/>
        </w:rPr>
      </w:pPr>
    </w:p>
    <w:p>
      <w:pPr>
        <w:ind w:firstLine="1600" w:firstLineChars="500"/>
        <w:rPr>
          <w:rFonts w:hint="default" w:ascii="Times New Roman" w:hAnsi="Times New Roman" w:eastAsia="黑体" w:cs="Times New Roman"/>
          <w:sz w:val="32"/>
          <w:szCs w:val="32"/>
        </w:rPr>
      </w:pPr>
    </w:p>
    <w:p>
      <w:pPr>
        <w:ind w:firstLine="1600" w:firstLineChars="500"/>
        <w:rPr>
          <w:rFonts w:hint="default" w:ascii="Times New Roman" w:hAnsi="Times New Roman" w:eastAsia="黑体" w:cs="Times New Roman"/>
          <w:sz w:val="32"/>
          <w:szCs w:val="32"/>
        </w:rPr>
      </w:pPr>
    </w:p>
    <w:p>
      <w:pPr>
        <w:ind w:firstLine="1600" w:firstLineChars="500"/>
        <w:rPr>
          <w:rFonts w:hint="default" w:ascii="Times New Roman" w:hAnsi="Times New Roman" w:eastAsia="黑体" w:cs="Times New Roman"/>
          <w:sz w:val="32"/>
          <w:szCs w:val="32"/>
        </w:rPr>
      </w:pPr>
    </w:p>
    <w:p>
      <w:pPr>
        <w:ind w:firstLine="1600" w:firstLineChars="500"/>
        <w:rPr>
          <w:rFonts w:hint="default" w:ascii="Times New Roman" w:hAnsi="Times New Roman" w:eastAsia="黑体" w:cs="Times New Roman"/>
          <w:sz w:val="32"/>
          <w:szCs w:val="32"/>
        </w:rPr>
      </w:pPr>
    </w:p>
    <w:p>
      <w:pPr>
        <w:ind w:firstLine="1600" w:firstLineChars="500"/>
        <w:rPr>
          <w:rFonts w:hint="default" w:ascii="Times New Roman" w:hAnsi="Times New Roman" w:eastAsia="黑体" w:cs="Times New Roman"/>
          <w:sz w:val="32"/>
          <w:szCs w:val="32"/>
        </w:rPr>
      </w:pPr>
    </w:p>
    <w:p>
      <w:pPr>
        <w:ind w:firstLine="1600" w:firstLineChars="500"/>
        <w:rPr>
          <w:rFonts w:hint="default" w:ascii="Times New Roman" w:hAnsi="Times New Roman" w:eastAsia="黑体" w:cs="Times New Roman"/>
          <w:sz w:val="32"/>
          <w:szCs w:val="32"/>
        </w:rPr>
      </w:pPr>
    </w:p>
    <w:p>
      <w:pPr>
        <w:ind w:firstLine="1600" w:firstLineChars="500"/>
        <w:rPr>
          <w:rFonts w:hint="default" w:ascii="Times New Roman" w:hAnsi="Times New Roman" w:eastAsia="黑体" w:cs="Times New Roman"/>
          <w:sz w:val="32"/>
          <w:szCs w:val="32"/>
        </w:rPr>
      </w:pPr>
    </w:p>
    <w:p>
      <w:pPr>
        <w:ind w:firstLine="1600" w:firstLineChars="500"/>
        <w:rPr>
          <w:rFonts w:hint="default" w:ascii="Times New Roman" w:hAnsi="Times New Roman" w:eastAsia="黑体" w:cs="Times New Roman"/>
          <w:sz w:val="32"/>
          <w:szCs w:val="32"/>
        </w:rPr>
      </w:pPr>
    </w:p>
    <w:p>
      <w:pPr>
        <w:ind w:firstLine="1600" w:firstLineChars="500"/>
        <w:rPr>
          <w:rFonts w:hint="default" w:ascii="Times New Roman" w:hAnsi="Times New Roman" w:eastAsia="黑体" w:cs="Times New Roman"/>
          <w:sz w:val="32"/>
          <w:szCs w:val="32"/>
        </w:rPr>
      </w:pPr>
    </w:p>
    <w:p>
      <w:pPr>
        <w:ind w:firstLine="1600" w:firstLineChars="500"/>
        <w:rPr>
          <w:rFonts w:hint="default" w:ascii="Times New Roman" w:hAnsi="Times New Roman" w:eastAsia="黑体" w:cs="Times New Roman"/>
          <w:sz w:val="32"/>
          <w:szCs w:val="32"/>
          <w:lang w:val="en-US" w:eastAsia="zh-CN"/>
        </w:rPr>
      </w:pPr>
      <w:r>
        <w:rPr>
          <w:rFonts w:hint="eastAsia" w:eastAsia="黑体" w:cs="Times New Roman"/>
          <w:sz w:val="32"/>
          <w:szCs w:val="32"/>
          <w:lang w:val="en-US" w:eastAsia="zh-CN"/>
        </w:rPr>
        <w:t xml:space="preserve">                                               填报人：</w:t>
      </w:r>
    </w:p>
    <w:p>
      <w:pPr>
        <w:ind w:firstLine="1600" w:firstLineChars="500"/>
        <w:rPr>
          <w:rFonts w:hint="default" w:ascii="Times New Roman" w:hAnsi="Times New Roman" w:eastAsia="黑体" w:cs="Times New Roman"/>
          <w:sz w:val="32"/>
          <w:szCs w:val="32"/>
        </w:rPr>
      </w:pPr>
    </w:p>
    <w:p>
      <w:pPr>
        <w:ind w:firstLine="1600" w:firstLineChars="500"/>
        <w:rPr>
          <w:rFonts w:hint="default" w:ascii="Times New Roman" w:hAnsi="Times New Roman" w:eastAsia="黑体" w:cs="Times New Roman"/>
          <w:sz w:val="32"/>
          <w:szCs w:val="32"/>
        </w:rPr>
      </w:pPr>
    </w:p>
    <w:p>
      <w:pPr>
        <w:ind w:firstLine="1600" w:firstLineChars="500"/>
        <w:rPr>
          <w:rFonts w:hint="default" w:ascii="Times New Roman" w:hAnsi="Times New Roman" w:eastAsia="黑体" w:cs="Times New Roman"/>
          <w:sz w:val="32"/>
          <w:szCs w:val="32"/>
        </w:rPr>
        <w:sectPr>
          <w:headerReference r:id="rId9" w:type="first"/>
          <w:footerReference r:id="rId12" w:type="first"/>
          <w:headerReference r:id="rId7" w:type="default"/>
          <w:footerReference r:id="rId10" w:type="default"/>
          <w:headerReference r:id="rId8" w:type="even"/>
          <w:footerReference r:id="rId11" w:type="even"/>
          <w:pgSz w:w="16840" w:h="11907" w:orient="landscape"/>
          <w:pgMar w:top="1440" w:right="1080" w:bottom="1440" w:left="1080" w:header="851" w:footer="992" w:gutter="0"/>
          <w:pgBorders>
            <w:top w:val="none" w:sz="0" w:space="0"/>
            <w:left w:val="none" w:sz="0" w:space="0"/>
            <w:bottom w:val="none" w:sz="0" w:space="0"/>
            <w:right w:val="none" w:sz="0" w:space="0"/>
          </w:pgBorders>
          <w:pgNumType w:fmt="numberInDash"/>
          <w:cols w:space="425" w:num="1"/>
          <w:docGrid w:linePitch="312" w:charSpace="0"/>
        </w:sectPr>
      </w:pPr>
    </w:p>
    <w:p>
      <w:pPr>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rPr>
        <w:t>附件</w:t>
      </w:r>
      <w:r>
        <w:rPr>
          <w:rFonts w:hint="default" w:ascii="Times New Roman" w:hAnsi="Times New Roman" w:eastAsia="黑体" w:cs="Times New Roman"/>
          <w:sz w:val="32"/>
          <w:szCs w:val="32"/>
          <w:lang w:val="en-US" w:eastAsia="zh-CN"/>
        </w:rPr>
        <w:t>9</w:t>
      </w:r>
    </w:p>
    <w:p>
      <w:pPr>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drawing>
          <wp:inline distT="0" distB="0" distL="114300" distR="114300">
            <wp:extent cx="5734050" cy="7629525"/>
            <wp:effectExtent l="0" t="0" r="0" b="9525"/>
            <wp:docPr id="1" name="图片 1" descr="微信图片_202105111138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微信图片_20210511113812"/>
                    <pic:cNvPicPr>
                      <a:picLocks noChangeAspect="true"/>
                    </pic:cNvPicPr>
                  </pic:nvPicPr>
                  <pic:blipFill>
                    <a:blip r:embed="rId14"/>
                    <a:stretch>
                      <a:fillRect/>
                    </a:stretch>
                  </pic:blipFill>
                  <pic:spPr>
                    <a:xfrm>
                      <a:off x="0" y="0"/>
                      <a:ext cx="5734050" cy="7629525"/>
                    </a:xfrm>
                    <a:prstGeom prst="rect">
                      <a:avLst/>
                    </a:prstGeom>
                    <a:noFill/>
                    <a:ln>
                      <a:noFill/>
                    </a:ln>
                  </pic:spPr>
                </pic:pic>
              </a:graphicData>
            </a:graphic>
          </wp:inline>
        </w:drawing>
      </w:r>
    </w:p>
    <w:sectPr>
      <w:pgSz w:w="11907" w:h="16840"/>
      <w:pgMar w:top="1080" w:right="1440" w:bottom="1080" w:left="1440" w:header="851" w:footer="992" w:gutter="0"/>
      <w:pgBorders>
        <w:top w:val="none" w:sz="0" w:space="0"/>
        <w:left w:val="none" w:sz="0" w:space="0"/>
        <w:bottom w:val="none" w:sz="0" w:space="0"/>
        <w:right w:val="none" w:sz="0" w:space="0"/>
      </w:pgBorders>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02FF" w:usb1="4000ACFF" w:usb2="00000001" w:usb3="00000000" w:csb0="2000019F" w:csb1="00000000"/>
  </w:font>
  <w:font w:name="方正仿宋简体">
    <w:panose1 w:val="02000000000000000000"/>
    <w:charset w:val="86"/>
    <w:family w:val="auto"/>
    <w:pitch w:val="default"/>
    <w:sig w:usb0="A00002BF" w:usb1="184F6CFA" w:usb2="00000012" w:usb3="00000000" w:csb0="00040001" w:csb1="00000000"/>
  </w:font>
  <w:font w:name="方正小标宋_GBK">
    <w:panose1 w:val="02000000000000000000"/>
    <w:charset w:val="86"/>
    <w:family w:val="script"/>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- 17 -</w:t>
    </w:r>
    <w:r>
      <w:rPr>
        <w:sz w:val="21"/>
        <w:szCs w:val="21"/>
      </w:rPr>
      <w:fldChar w:fldCharType="end"/>
    </w:r>
  </w:p>
  <w:p>
    <w:pPr>
      <w:pStyle w:val="4"/>
      <w:jc w:val="center"/>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 PAGE   \* MERGEFORMAT </w:instrText>
    </w:r>
    <w:r>
      <w:fldChar w:fldCharType="separate"/>
    </w:r>
    <w:r>
      <w:rPr>
        <w:lang w:val="zh-CN"/>
      </w:rPr>
      <w:t>-</w:t>
    </w:r>
    <w:r>
      <w:t xml:space="preserve"> 18 -</w:t>
    </w:r>
    <w:r>
      <w:fldChar w:fldCharType="end"/>
    </w:r>
  </w:p>
  <w:p>
    <w:pPr>
      <w:pStyle w:val="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11"/>
      </w:rPr>
    </w:pPr>
    <w:r>
      <w:rPr>
        <w:rStyle w:val="11"/>
      </w:rPr>
      <w:fldChar w:fldCharType="begin"/>
    </w:r>
    <w:r>
      <w:rPr>
        <w:rStyle w:val="11"/>
      </w:rPr>
      <w:instrText xml:space="preserve">PAGE  </w:instrText>
    </w:r>
    <w:r>
      <w:rPr>
        <w:rStyle w:val="11"/>
      </w:rPr>
      <w:fldChar w:fldCharType="end"/>
    </w:r>
  </w:p>
  <w:p>
    <w:pPr>
      <w:pStyle w:val="4"/>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 PAGE   \* MERGEFORMAT </w:instrText>
    </w:r>
    <w:r>
      <w:fldChar w:fldCharType="separate"/>
    </w:r>
    <w:r>
      <w:rPr>
        <w:lang w:val="zh-CN"/>
      </w:rPr>
      <w:t>-</w:t>
    </w:r>
    <w:r>
      <w:t xml:space="preserve"> 20 -</w:t>
    </w:r>
    <w:r>
      <w:fldChar w:fldCharType="end"/>
    </w:r>
  </w:p>
  <w:p>
    <w:pPr>
      <w:pStyle w:val="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BD391B"/>
    <w:multiLevelType w:val="multilevel"/>
    <w:tmpl w:val="0ABD391B"/>
    <w:lvl w:ilvl="0" w:tentative="0">
      <w:start w:val="1"/>
      <w:numFmt w:val="japaneseCounting"/>
      <w:lvlText w:val="第%1章"/>
      <w:lvlJc w:val="left"/>
      <w:pPr>
        <w:ind w:left="1110" w:hanging="1110"/>
      </w:pPr>
      <w:rPr>
        <w:rFonts w:hint="default" w:cs="Times New Roman"/>
        <w:sz w:val="32"/>
        <w:szCs w:val="32"/>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59ED1CBC"/>
    <w:multiLevelType w:val="multilevel"/>
    <w:tmpl w:val="59ED1CBC"/>
    <w:lvl w:ilvl="0" w:tentative="0">
      <w:start w:val="1"/>
      <w:numFmt w:val="chineseCountingThousand"/>
      <w:suff w:val="space"/>
      <w:lvlText w:val="第%1条"/>
      <w:lvlJc w:val="left"/>
      <w:pPr>
        <w:ind w:left="1920" w:hanging="1920"/>
      </w:pPr>
      <w:rPr>
        <w:rFonts w:hint="default" w:cs="Times New Roman"/>
        <w:sz w:val="32"/>
        <w:szCs w:val="32"/>
      </w:rPr>
    </w:lvl>
    <w:lvl w:ilvl="1" w:tentative="0">
      <w:start w:val="1"/>
      <w:numFmt w:val="chineseCountingThousand"/>
      <w:lvlText w:val="第%2条"/>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NotTrackMoves/>
  <w:documentProtection w:enforcement="0"/>
  <w:defaultTabStop w:val="420"/>
  <w:drawingGridHorizontalSpacing w:val="105"/>
  <w:drawingGridVerticalSpacing w:val="304"/>
  <w:displayHorizontalDrawingGridEvery w:val="1"/>
  <w:displayVerticalDrawingGridEvery w:val="1"/>
  <w:noPunctuationKerning w:val="true"/>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42A"/>
    <w:rsid w:val="00000557"/>
    <w:rsid w:val="00003364"/>
    <w:rsid w:val="000054B9"/>
    <w:rsid w:val="000064E4"/>
    <w:rsid w:val="0001561E"/>
    <w:rsid w:val="000168B7"/>
    <w:rsid w:val="00023FF2"/>
    <w:rsid w:val="00024D57"/>
    <w:rsid w:val="00024E11"/>
    <w:rsid w:val="00025E08"/>
    <w:rsid w:val="00026CEA"/>
    <w:rsid w:val="0002719B"/>
    <w:rsid w:val="000305E0"/>
    <w:rsid w:val="0004097F"/>
    <w:rsid w:val="00044166"/>
    <w:rsid w:val="00044983"/>
    <w:rsid w:val="0004613B"/>
    <w:rsid w:val="000464BA"/>
    <w:rsid w:val="00051BA5"/>
    <w:rsid w:val="000560CE"/>
    <w:rsid w:val="000563E6"/>
    <w:rsid w:val="000572FD"/>
    <w:rsid w:val="00057F34"/>
    <w:rsid w:val="00057F91"/>
    <w:rsid w:val="00062EE3"/>
    <w:rsid w:val="00063AF8"/>
    <w:rsid w:val="00064945"/>
    <w:rsid w:val="00064AB9"/>
    <w:rsid w:val="00064D49"/>
    <w:rsid w:val="000661CD"/>
    <w:rsid w:val="0007222C"/>
    <w:rsid w:val="0007665A"/>
    <w:rsid w:val="0008091B"/>
    <w:rsid w:val="000836C3"/>
    <w:rsid w:val="000837C1"/>
    <w:rsid w:val="00085D4A"/>
    <w:rsid w:val="00090DEA"/>
    <w:rsid w:val="00090E1E"/>
    <w:rsid w:val="00091E76"/>
    <w:rsid w:val="0009257F"/>
    <w:rsid w:val="000A0910"/>
    <w:rsid w:val="000A09D1"/>
    <w:rsid w:val="000A37E9"/>
    <w:rsid w:val="000A3D37"/>
    <w:rsid w:val="000A569E"/>
    <w:rsid w:val="000A56B2"/>
    <w:rsid w:val="000A67DB"/>
    <w:rsid w:val="000A7A3E"/>
    <w:rsid w:val="000B1AA7"/>
    <w:rsid w:val="000B6141"/>
    <w:rsid w:val="000C0451"/>
    <w:rsid w:val="000C2057"/>
    <w:rsid w:val="000C2A96"/>
    <w:rsid w:val="000C2ECC"/>
    <w:rsid w:val="000C429D"/>
    <w:rsid w:val="000C44B9"/>
    <w:rsid w:val="000C7658"/>
    <w:rsid w:val="000D022D"/>
    <w:rsid w:val="000D51F3"/>
    <w:rsid w:val="000E09C0"/>
    <w:rsid w:val="000E2A00"/>
    <w:rsid w:val="000E3D46"/>
    <w:rsid w:val="000F163F"/>
    <w:rsid w:val="000F348D"/>
    <w:rsid w:val="000F3D2D"/>
    <w:rsid w:val="000F6E05"/>
    <w:rsid w:val="00102917"/>
    <w:rsid w:val="00102C35"/>
    <w:rsid w:val="0010476F"/>
    <w:rsid w:val="00105F2E"/>
    <w:rsid w:val="0011088A"/>
    <w:rsid w:val="00111930"/>
    <w:rsid w:val="001129A2"/>
    <w:rsid w:val="001149C7"/>
    <w:rsid w:val="00114D65"/>
    <w:rsid w:val="00115C3A"/>
    <w:rsid w:val="00117C5F"/>
    <w:rsid w:val="0012050E"/>
    <w:rsid w:val="00121FB0"/>
    <w:rsid w:val="00123239"/>
    <w:rsid w:val="001232B4"/>
    <w:rsid w:val="00123312"/>
    <w:rsid w:val="001274B9"/>
    <w:rsid w:val="00135530"/>
    <w:rsid w:val="00135FA3"/>
    <w:rsid w:val="00137176"/>
    <w:rsid w:val="00137E55"/>
    <w:rsid w:val="00140323"/>
    <w:rsid w:val="00143413"/>
    <w:rsid w:val="00147973"/>
    <w:rsid w:val="0015497E"/>
    <w:rsid w:val="00155709"/>
    <w:rsid w:val="001623E5"/>
    <w:rsid w:val="00164E98"/>
    <w:rsid w:val="00165972"/>
    <w:rsid w:val="0017350F"/>
    <w:rsid w:val="00173D6B"/>
    <w:rsid w:val="001753BD"/>
    <w:rsid w:val="00180E94"/>
    <w:rsid w:val="00181B60"/>
    <w:rsid w:val="001823B9"/>
    <w:rsid w:val="001836E8"/>
    <w:rsid w:val="0018534B"/>
    <w:rsid w:val="00196854"/>
    <w:rsid w:val="001A01AB"/>
    <w:rsid w:val="001A23D6"/>
    <w:rsid w:val="001A2997"/>
    <w:rsid w:val="001A2D7B"/>
    <w:rsid w:val="001A6561"/>
    <w:rsid w:val="001A7FC1"/>
    <w:rsid w:val="001B2113"/>
    <w:rsid w:val="001B375B"/>
    <w:rsid w:val="001B3EB4"/>
    <w:rsid w:val="001B4D31"/>
    <w:rsid w:val="001C0711"/>
    <w:rsid w:val="001C0D91"/>
    <w:rsid w:val="001C52B4"/>
    <w:rsid w:val="001C6BB4"/>
    <w:rsid w:val="001C79DB"/>
    <w:rsid w:val="001D1C08"/>
    <w:rsid w:val="001D376E"/>
    <w:rsid w:val="001D67B5"/>
    <w:rsid w:val="001E0796"/>
    <w:rsid w:val="001E1836"/>
    <w:rsid w:val="001E7BD5"/>
    <w:rsid w:val="001F3DA8"/>
    <w:rsid w:val="001F5066"/>
    <w:rsid w:val="001F6645"/>
    <w:rsid w:val="00202691"/>
    <w:rsid w:val="0021551D"/>
    <w:rsid w:val="00216105"/>
    <w:rsid w:val="00221817"/>
    <w:rsid w:val="00221F19"/>
    <w:rsid w:val="00223A9F"/>
    <w:rsid w:val="00223FB2"/>
    <w:rsid w:val="00224E3F"/>
    <w:rsid w:val="002250DE"/>
    <w:rsid w:val="00226255"/>
    <w:rsid w:val="002275FF"/>
    <w:rsid w:val="0023466A"/>
    <w:rsid w:val="002364FF"/>
    <w:rsid w:val="002366BB"/>
    <w:rsid w:val="00240AA7"/>
    <w:rsid w:val="002412D0"/>
    <w:rsid w:val="00242481"/>
    <w:rsid w:val="002430A0"/>
    <w:rsid w:val="002461A3"/>
    <w:rsid w:val="00247684"/>
    <w:rsid w:val="00251EC0"/>
    <w:rsid w:val="002529C3"/>
    <w:rsid w:val="00253B45"/>
    <w:rsid w:val="002552B5"/>
    <w:rsid w:val="002609B5"/>
    <w:rsid w:val="00260F51"/>
    <w:rsid w:val="00262685"/>
    <w:rsid w:val="0026631E"/>
    <w:rsid w:val="00272C61"/>
    <w:rsid w:val="00273C21"/>
    <w:rsid w:val="0027568F"/>
    <w:rsid w:val="002757B3"/>
    <w:rsid w:val="00281547"/>
    <w:rsid w:val="002851FC"/>
    <w:rsid w:val="0028539F"/>
    <w:rsid w:val="00287D39"/>
    <w:rsid w:val="0029078B"/>
    <w:rsid w:val="00291475"/>
    <w:rsid w:val="00292609"/>
    <w:rsid w:val="0029304E"/>
    <w:rsid w:val="00295531"/>
    <w:rsid w:val="0029684D"/>
    <w:rsid w:val="00296B0A"/>
    <w:rsid w:val="00297A94"/>
    <w:rsid w:val="002A029E"/>
    <w:rsid w:val="002B03BE"/>
    <w:rsid w:val="002B0738"/>
    <w:rsid w:val="002B1778"/>
    <w:rsid w:val="002B3F93"/>
    <w:rsid w:val="002B4D1D"/>
    <w:rsid w:val="002C1306"/>
    <w:rsid w:val="002C21B5"/>
    <w:rsid w:val="002C2F2A"/>
    <w:rsid w:val="002C3896"/>
    <w:rsid w:val="002C745C"/>
    <w:rsid w:val="002C7CFC"/>
    <w:rsid w:val="002C7D14"/>
    <w:rsid w:val="002D1A09"/>
    <w:rsid w:val="002D328A"/>
    <w:rsid w:val="002D5689"/>
    <w:rsid w:val="002D5E50"/>
    <w:rsid w:val="002E0711"/>
    <w:rsid w:val="002E2F05"/>
    <w:rsid w:val="002E4282"/>
    <w:rsid w:val="002E792E"/>
    <w:rsid w:val="002F7421"/>
    <w:rsid w:val="002F75DE"/>
    <w:rsid w:val="002F76CE"/>
    <w:rsid w:val="0030004D"/>
    <w:rsid w:val="003057AA"/>
    <w:rsid w:val="00305FF9"/>
    <w:rsid w:val="00306E9C"/>
    <w:rsid w:val="003122E2"/>
    <w:rsid w:val="0031282B"/>
    <w:rsid w:val="00313507"/>
    <w:rsid w:val="00314C4C"/>
    <w:rsid w:val="00316AE7"/>
    <w:rsid w:val="00317602"/>
    <w:rsid w:val="003241BC"/>
    <w:rsid w:val="00325B2E"/>
    <w:rsid w:val="00326992"/>
    <w:rsid w:val="00330D17"/>
    <w:rsid w:val="0033560C"/>
    <w:rsid w:val="00336E65"/>
    <w:rsid w:val="00341F4F"/>
    <w:rsid w:val="003472A8"/>
    <w:rsid w:val="00347E6F"/>
    <w:rsid w:val="0035158B"/>
    <w:rsid w:val="00351CB9"/>
    <w:rsid w:val="0035344F"/>
    <w:rsid w:val="003540BE"/>
    <w:rsid w:val="0035511D"/>
    <w:rsid w:val="003557A2"/>
    <w:rsid w:val="0035588B"/>
    <w:rsid w:val="00355F6B"/>
    <w:rsid w:val="00356A7C"/>
    <w:rsid w:val="00362A60"/>
    <w:rsid w:val="00365FE2"/>
    <w:rsid w:val="00372D80"/>
    <w:rsid w:val="003736AA"/>
    <w:rsid w:val="003762F9"/>
    <w:rsid w:val="0037749C"/>
    <w:rsid w:val="00380709"/>
    <w:rsid w:val="00384138"/>
    <w:rsid w:val="00385518"/>
    <w:rsid w:val="00385C6F"/>
    <w:rsid w:val="00385F78"/>
    <w:rsid w:val="003866F0"/>
    <w:rsid w:val="00393594"/>
    <w:rsid w:val="003959C6"/>
    <w:rsid w:val="003A06C5"/>
    <w:rsid w:val="003A5D22"/>
    <w:rsid w:val="003A5DC0"/>
    <w:rsid w:val="003B06FD"/>
    <w:rsid w:val="003B1708"/>
    <w:rsid w:val="003B4997"/>
    <w:rsid w:val="003B774C"/>
    <w:rsid w:val="003C0F21"/>
    <w:rsid w:val="003C13A8"/>
    <w:rsid w:val="003C2864"/>
    <w:rsid w:val="003C4543"/>
    <w:rsid w:val="003C724A"/>
    <w:rsid w:val="003D1BFC"/>
    <w:rsid w:val="003D1F1F"/>
    <w:rsid w:val="003D3A9F"/>
    <w:rsid w:val="003D42A1"/>
    <w:rsid w:val="003D6FCE"/>
    <w:rsid w:val="003E3FD8"/>
    <w:rsid w:val="003E5217"/>
    <w:rsid w:val="003E6BBD"/>
    <w:rsid w:val="003F0239"/>
    <w:rsid w:val="003F2AD4"/>
    <w:rsid w:val="003F345B"/>
    <w:rsid w:val="003F3B06"/>
    <w:rsid w:val="003F3D26"/>
    <w:rsid w:val="003F4097"/>
    <w:rsid w:val="003F4411"/>
    <w:rsid w:val="003F595F"/>
    <w:rsid w:val="004010E0"/>
    <w:rsid w:val="004013E4"/>
    <w:rsid w:val="004068B2"/>
    <w:rsid w:val="00406F3E"/>
    <w:rsid w:val="00412189"/>
    <w:rsid w:val="004129CA"/>
    <w:rsid w:val="00413A3C"/>
    <w:rsid w:val="004173B6"/>
    <w:rsid w:val="004173F8"/>
    <w:rsid w:val="00417643"/>
    <w:rsid w:val="0042015B"/>
    <w:rsid w:val="00420280"/>
    <w:rsid w:val="00423A31"/>
    <w:rsid w:val="004253CE"/>
    <w:rsid w:val="00426092"/>
    <w:rsid w:val="00426232"/>
    <w:rsid w:val="00426512"/>
    <w:rsid w:val="0042776E"/>
    <w:rsid w:val="004302D7"/>
    <w:rsid w:val="00430F08"/>
    <w:rsid w:val="004311AE"/>
    <w:rsid w:val="00431AEF"/>
    <w:rsid w:val="00433EAC"/>
    <w:rsid w:val="00434548"/>
    <w:rsid w:val="0043554A"/>
    <w:rsid w:val="00435A7C"/>
    <w:rsid w:val="0043765A"/>
    <w:rsid w:val="00440FEA"/>
    <w:rsid w:val="00442032"/>
    <w:rsid w:val="00442959"/>
    <w:rsid w:val="0044297E"/>
    <w:rsid w:val="00444B33"/>
    <w:rsid w:val="00447032"/>
    <w:rsid w:val="00447448"/>
    <w:rsid w:val="00450429"/>
    <w:rsid w:val="00450D13"/>
    <w:rsid w:val="00454281"/>
    <w:rsid w:val="00455694"/>
    <w:rsid w:val="004579C9"/>
    <w:rsid w:val="004613DA"/>
    <w:rsid w:val="004634D6"/>
    <w:rsid w:val="00465C73"/>
    <w:rsid w:val="00472CD6"/>
    <w:rsid w:val="0047741D"/>
    <w:rsid w:val="004808D0"/>
    <w:rsid w:val="004822A8"/>
    <w:rsid w:val="00484368"/>
    <w:rsid w:val="0049475F"/>
    <w:rsid w:val="00494F20"/>
    <w:rsid w:val="004A02F7"/>
    <w:rsid w:val="004A1F8B"/>
    <w:rsid w:val="004A2070"/>
    <w:rsid w:val="004A2B25"/>
    <w:rsid w:val="004A3A52"/>
    <w:rsid w:val="004A5B4E"/>
    <w:rsid w:val="004A60CA"/>
    <w:rsid w:val="004A660C"/>
    <w:rsid w:val="004A6611"/>
    <w:rsid w:val="004A6BB0"/>
    <w:rsid w:val="004A7BCC"/>
    <w:rsid w:val="004B077A"/>
    <w:rsid w:val="004C1F61"/>
    <w:rsid w:val="004C45B1"/>
    <w:rsid w:val="004C4F0A"/>
    <w:rsid w:val="004C626A"/>
    <w:rsid w:val="004C637A"/>
    <w:rsid w:val="004C759A"/>
    <w:rsid w:val="004D4489"/>
    <w:rsid w:val="004D71FC"/>
    <w:rsid w:val="004E475A"/>
    <w:rsid w:val="004E4DAD"/>
    <w:rsid w:val="004F0739"/>
    <w:rsid w:val="004F0C9D"/>
    <w:rsid w:val="004F57C1"/>
    <w:rsid w:val="004F5D48"/>
    <w:rsid w:val="004F5E2F"/>
    <w:rsid w:val="004F5FB0"/>
    <w:rsid w:val="00500A83"/>
    <w:rsid w:val="00507530"/>
    <w:rsid w:val="0051185C"/>
    <w:rsid w:val="00512BF0"/>
    <w:rsid w:val="005132EF"/>
    <w:rsid w:val="00513BC6"/>
    <w:rsid w:val="00514A1D"/>
    <w:rsid w:val="005159B7"/>
    <w:rsid w:val="005161CC"/>
    <w:rsid w:val="005163C9"/>
    <w:rsid w:val="00516B56"/>
    <w:rsid w:val="00521094"/>
    <w:rsid w:val="0052451B"/>
    <w:rsid w:val="0052497C"/>
    <w:rsid w:val="00527888"/>
    <w:rsid w:val="00531FA0"/>
    <w:rsid w:val="00532F1E"/>
    <w:rsid w:val="0053350F"/>
    <w:rsid w:val="005356A4"/>
    <w:rsid w:val="00536AB7"/>
    <w:rsid w:val="00541463"/>
    <w:rsid w:val="00544D51"/>
    <w:rsid w:val="00546FD1"/>
    <w:rsid w:val="00551307"/>
    <w:rsid w:val="00551F1F"/>
    <w:rsid w:val="00556BB0"/>
    <w:rsid w:val="005620DB"/>
    <w:rsid w:val="00563B7D"/>
    <w:rsid w:val="005669C9"/>
    <w:rsid w:val="0056785B"/>
    <w:rsid w:val="00570F95"/>
    <w:rsid w:val="0057111F"/>
    <w:rsid w:val="00572A2F"/>
    <w:rsid w:val="00572A65"/>
    <w:rsid w:val="005738D6"/>
    <w:rsid w:val="00576296"/>
    <w:rsid w:val="00576C70"/>
    <w:rsid w:val="00580791"/>
    <w:rsid w:val="00580D78"/>
    <w:rsid w:val="00581526"/>
    <w:rsid w:val="0058195E"/>
    <w:rsid w:val="00581BB2"/>
    <w:rsid w:val="00582117"/>
    <w:rsid w:val="00583DCB"/>
    <w:rsid w:val="00587676"/>
    <w:rsid w:val="0058769A"/>
    <w:rsid w:val="005877D9"/>
    <w:rsid w:val="00587F3C"/>
    <w:rsid w:val="00590EB5"/>
    <w:rsid w:val="00592EE7"/>
    <w:rsid w:val="00593101"/>
    <w:rsid w:val="005A0F8B"/>
    <w:rsid w:val="005A3915"/>
    <w:rsid w:val="005A49B8"/>
    <w:rsid w:val="005A649E"/>
    <w:rsid w:val="005B276D"/>
    <w:rsid w:val="005B3D2E"/>
    <w:rsid w:val="005B45AB"/>
    <w:rsid w:val="005B5043"/>
    <w:rsid w:val="005B5759"/>
    <w:rsid w:val="005B6C47"/>
    <w:rsid w:val="005C13CE"/>
    <w:rsid w:val="005C160B"/>
    <w:rsid w:val="005C3A00"/>
    <w:rsid w:val="005D0130"/>
    <w:rsid w:val="005E08BD"/>
    <w:rsid w:val="005E4B27"/>
    <w:rsid w:val="005E5E2E"/>
    <w:rsid w:val="005E6492"/>
    <w:rsid w:val="005E69C7"/>
    <w:rsid w:val="005E73E4"/>
    <w:rsid w:val="005F249B"/>
    <w:rsid w:val="00600A0A"/>
    <w:rsid w:val="006029DD"/>
    <w:rsid w:val="006123E3"/>
    <w:rsid w:val="006129CC"/>
    <w:rsid w:val="00613A66"/>
    <w:rsid w:val="00614F53"/>
    <w:rsid w:val="006166B0"/>
    <w:rsid w:val="00617D0A"/>
    <w:rsid w:val="00621DD7"/>
    <w:rsid w:val="00622AD4"/>
    <w:rsid w:val="00625BD1"/>
    <w:rsid w:val="006307DC"/>
    <w:rsid w:val="00631307"/>
    <w:rsid w:val="006325A7"/>
    <w:rsid w:val="00635C41"/>
    <w:rsid w:val="006363D6"/>
    <w:rsid w:val="0064010C"/>
    <w:rsid w:val="006413D5"/>
    <w:rsid w:val="00642144"/>
    <w:rsid w:val="00647E10"/>
    <w:rsid w:val="00656F25"/>
    <w:rsid w:val="00660D79"/>
    <w:rsid w:val="00664BF0"/>
    <w:rsid w:val="00666FFB"/>
    <w:rsid w:val="006706EF"/>
    <w:rsid w:val="0067281C"/>
    <w:rsid w:val="006751C5"/>
    <w:rsid w:val="006767A1"/>
    <w:rsid w:val="0068150D"/>
    <w:rsid w:val="00687EDD"/>
    <w:rsid w:val="00690BA6"/>
    <w:rsid w:val="00690DF7"/>
    <w:rsid w:val="00691F43"/>
    <w:rsid w:val="006929F5"/>
    <w:rsid w:val="00692C80"/>
    <w:rsid w:val="00693151"/>
    <w:rsid w:val="00696D07"/>
    <w:rsid w:val="0069733F"/>
    <w:rsid w:val="006A40E4"/>
    <w:rsid w:val="006A75F8"/>
    <w:rsid w:val="006B0820"/>
    <w:rsid w:val="006B4471"/>
    <w:rsid w:val="006B5F35"/>
    <w:rsid w:val="006B7041"/>
    <w:rsid w:val="006C0041"/>
    <w:rsid w:val="006C29A0"/>
    <w:rsid w:val="006C5D97"/>
    <w:rsid w:val="006C7070"/>
    <w:rsid w:val="006D47B4"/>
    <w:rsid w:val="006D5DB4"/>
    <w:rsid w:val="006D61D0"/>
    <w:rsid w:val="006D6D17"/>
    <w:rsid w:val="006E026E"/>
    <w:rsid w:val="006E082B"/>
    <w:rsid w:val="006E0B4D"/>
    <w:rsid w:val="006E2194"/>
    <w:rsid w:val="006E39E1"/>
    <w:rsid w:val="006E47A2"/>
    <w:rsid w:val="006E5760"/>
    <w:rsid w:val="006E5BD1"/>
    <w:rsid w:val="006F3040"/>
    <w:rsid w:val="006F32AB"/>
    <w:rsid w:val="006F38A4"/>
    <w:rsid w:val="006F4AFE"/>
    <w:rsid w:val="006F5AC5"/>
    <w:rsid w:val="006F68EE"/>
    <w:rsid w:val="007012BA"/>
    <w:rsid w:val="00702AD9"/>
    <w:rsid w:val="00704068"/>
    <w:rsid w:val="00707A8D"/>
    <w:rsid w:val="00710E2F"/>
    <w:rsid w:val="007125D0"/>
    <w:rsid w:val="0071332A"/>
    <w:rsid w:val="007154C9"/>
    <w:rsid w:val="00720D41"/>
    <w:rsid w:val="0072299F"/>
    <w:rsid w:val="007229DB"/>
    <w:rsid w:val="00722F14"/>
    <w:rsid w:val="00726D17"/>
    <w:rsid w:val="00727FDA"/>
    <w:rsid w:val="00731829"/>
    <w:rsid w:val="007341CC"/>
    <w:rsid w:val="007351BB"/>
    <w:rsid w:val="00735940"/>
    <w:rsid w:val="007370E6"/>
    <w:rsid w:val="00744ADC"/>
    <w:rsid w:val="00744E22"/>
    <w:rsid w:val="00744F96"/>
    <w:rsid w:val="0074526B"/>
    <w:rsid w:val="00751FEE"/>
    <w:rsid w:val="0075357D"/>
    <w:rsid w:val="00756D06"/>
    <w:rsid w:val="0076144B"/>
    <w:rsid w:val="00761DA0"/>
    <w:rsid w:val="007621D7"/>
    <w:rsid w:val="0076279D"/>
    <w:rsid w:val="0076293B"/>
    <w:rsid w:val="007629E9"/>
    <w:rsid w:val="00765BD0"/>
    <w:rsid w:val="00772B9B"/>
    <w:rsid w:val="00772D64"/>
    <w:rsid w:val="00774A31"/>
    <w:rsid w:val="00781F06"/>
    <w:rsid w:val="007823A0"/>
    <w:rsid w:val="00782CEC"/>
    <w:rsid w:val="007856AA"/>
    <w:rsid w:val="007860A6"/>
    <w:rsid w:val="00786D22"/>
    <w:rsid w:val="00787DE3"/>
    <w:rsid w:val="00791D4E"/>
    <w:rsid w:val="0079263F"/>
    <w:rsid w:val="00794470"/>
    <w:rsid w:val="00794F3A"/>
    <w:rsid w:val="00795246"/>
    <w:rsid w:val="007A05CA"/>
    <w:rsid w:val="007A666E"/>
    <w:rsid w:val="007A703E"/>
    <w:rsid w:val="007A7604"/>
    <w:rsid w:val="007B0268"/>
    <w:rsid w:val="007B34E4"/>
    <w:rsid w:val="007C2729"/>
    <w:rsid w:val="007C442A"/>
    <w:rsid w:val="007C5471"/>
    <w:rsid w:val="007C5E2B"/>
    <w:rsid w:val="007D2635"/>
    <w:rsid w:val="007D39F6"/>
    <w:rsid w:val="007D5411"/>
    <w:rsid w:val="007D73D8"/>
    <w:rsid w:val="007D7934"/>
    <w:rsid w:val="007E16F5"/>
    <w:rsid w:val="007E6C6D"/>
    <w:rsid w:val="007E6F04"/>
    <w:rsid w:val="007E719F"/>
    <w:rsid w:val="007F0CB9"/>
    <w:rsid w:val="007F11F8"/>
    <w:rsid w:val="007F25CD"/>
    <w:rsid w:val="007F3E26"/>
    <w:rsid w:val="007F4452"/>
    <w:rsid w:val="007F684B"/>
    <w:rsid w:val="00800B72"/>
    <w:rsid w:val="00802798"/>
    <w:rsid w:val="00805C9A"/>
    <w:rsid w:val="008072BB"/>
    <w:rsid w:val="00811BA2"/>
    <w:rsid w:val="00812343"/>
    <w:rsid w:val="00812FCF"/>
    <w:rsid w:val="00812FF6"/>
    <w:rsid w:val="00820B5C"/>
    <w:rsid w:val="00824964"/>
    <w:rsid w:val="00826CD9"/>
    <w:rsid w:val="00832247"/>
    <w:rsid w:val="00841654"/>
    <w:rsid w:val="008425C5"/>
    <w:rsid w:val="008439C2"/>
    <w:rsid w:val="00844FF0"/>
    <w:rsid w:val="00846403"/>
    <w:rsid w:val="0084672B"/>
    <w:rsid w:val="00846F02"/>
    <w:rsid w:val="00847F7C"/>
    <w:rsid w:val="00850891"/>
    <w:rsid w:val="008529D4"/>
    <w:rsid w:val="008529E3"/>
    <w:rsid w:val="0085315A"/>
    <w:rsid w:val="00853FCF"/>
    <w:rsid w:val="008549AD"/>
    <w:rsid w:val="00855C1D"/>
    <w:rsid w:val="00857ECC"/>
    <w:rsid w:val="008614F8"/>
    <w:rsid w:val="00861F45"/>
    <w:rsid w:val="00861F63"/>
    <w:rsid w:val="008630FE"/>
    <w:rsid w:val="008644E7"/>
    <w:rsid w:val="00865136"/>
    <w:rsid w:val="00871C12"/>
    <w:rsid w:val="008733BF"/>
    <w:rsid w:val="00881F4D"/>
    <w:rsid w:val="0088458B"/>
    <w:rsid w:val="00884AB9"/>
    <w:rsid w:val="00884B24"/>
    <w:rsid w:val="00884ED1"/>
    <w:rsid w:val="00886E4B"/>
    <w:rsid w:val="00890707"/>
    <w:rsid w:val="00891335"/>
    <w:rsid w:val="008A05F8"/>
    <w:rsid w:val="008A352D"/>
    <w:rsid w:val="008A4336"/>
    <w:rsid w:val="008A4C76"/>
    <w:rsid w:val="008B0D0F"/>
    <w:rsid w:val="008B11F0"/>
    <w:rsid w:val="008B37E9"/>
    <w:rsid w:val="008B4291"/>
    <w:rsid w:val="008B4F5B"/>
    <w:rsid w:val="008B6D77"/>
    <w:rsid w:val="008C26A2"/>
    <w:rsid w:val="008C351B"/>
    <w:rsid w:val="008C6769"/>
    <w:rsid w:val="008C7065"/>
    <w:rsid w:val="008D7321"/>
    <w:rsid w:val="008D7C44"/>
    <w:rsid w:val="008E155A"/>
    <w:rsid w:val="008E5514"/>
    <w:rsid w:val="008F051B"/>
    <w:rsid w:val="008F0A2E"/>
    <w:rsid w:val="008F2089"/>
    <w:rsid w:val="008F4AF1"/>
    <w:rsid w:val="008F597C"/>
    <w:rsid w:val="009016C2"/>
    <w:rsid w:val="00901D1C"/>
    <w:rsid w:val="00902DC1"/>
    <w:rsid w:val="00905CFC"/>
    <w:rsid w:val="00906C77"/>
    <w:rsid w:val="00912792"/>
    <w:rsid w:val="00912DC2"/>
    <w:rsid w:val="00913B4E"/>
    <w:rsid w:val="0091451D"/>
    <w:rsid w:val="00914DF9"/>
    <w:rsid w:val="00915807"/>
    <w:rsid w:val="00915DC7"/>
    <w:rsid w:val="00916260"/>
    <w:rsid w:val="00924353"/>
    <w:rsid w:val="009274E2"/>
    <w:rsid w:val="00930529"/>
    <w:rsid w:val="0093493C"/>
    <w:rsid w:val="0094083C"/>
    <w:rsid w:val="0094142C"/>
    <w:rsid w:val="0094335A"/>
    <w:rsid w:val="00943A58"/>
    <w:rsid w:val="0094650D"/>
    <w:rsid w:val="00947465"/>
    <w:rsid w:val="00950A49"/>
    <w:rsid w:val="00952F5C"/>
    <w:rsid w:val="00953166"/>
    <w:rsid w:val="00957352"/>
    <w:rsid w:val="00964DD2"/>
    <w:rsid w:val="009716B9"/>
    <w:rsid w:val="009743B1"/>
    <w:rsid w:val="00974D94"/>
    <w:rsid w:val="00975BB7"/>
    <w:rsid w:val="00976753"/>
    <w:rsid w:val="00981165"/>
    <w:rsid w:val="00983916"/>
    <w:rsid w:val="00987DF4"/>
    <w:rsid w:val="00990BBA"/>
    <w:rsid w:val="00992375"/>
    <w:rsid w:val="00993137"/>
    <w:rsid w:val="00995991"/>
    <w:rsid w:val="0099781A"/>
    <w:rsid w:val="009A279E"/>
    <w:rsid w:val="009A771A"/>
    <w:rsid w:val="009B053E"/>
    <w:rsid w:val="009B3451"/>
    <w:rsid w:val="009B4E75"/>
    <w:rsid w:val="009B54C1"/>
    <w:rsid w:val="009B7982"/>
    <w:rsid w:val="009C08A4"/>
    <w:rsid w:val="009C2F26"/>
    <w:rsid w:val="009C31A8"/>
    <w:rsid w:val="009C3994"/>
    <w:rsid w:val="009C6CC6"/>
    <w:rsid w:val="009D0FB5"/>
    <w:rsid w:val="009D42CA"/>
    <w:rsid w:val="009D6868"/>
    <w:rsid w:val="009E0D32"/>
    <w:rsid w:val="009E0ECE"/>
    <w:rsid w:val="009E183D"/>
    <w:rsid w:val="009E1CFA"/>
    <w:rsid w:val="009E1D93"/>
    <w:rsid w:val="009E2035"/>
    <w:rsid w:val="009E4945"/>
    <w:rsid w:val="009E79C7"/>
    <w:rsid w:val="009F0324"/>
    <w:rsid w:val="009F0830"/>
    <w:rsid w:val="009F0EF5"/>
    <w:rsid w:val="009F2B6C"/>
    <w:rsid w:val="009F3DB2"/>
    <w:rsid w:val="009F5AD1"/>
    <w:rsid w:val="00A00627"/>
    <w:rsid w:val="00A009D4"/>
    <w:rsid w:val="00A00A4C"/>
    <w:rsid w:val="00A00F5A"/>
    <w:rsid w:val="00A049EA"/>
    <w:rsid w:val="00A05100"/>
    <w:rsid w:val="00A10853"/>
    <w:rsid w:val="00A1092A"/>
    <w:rsid w:val="00A111EA"/>
    <w:rsid w:val="00A12E70"/>
    <w:rsid w:val="00A13B55"/>
    <w:rsid w:val="00A14D71"/>
    <w:rsid w:val="00A160B4"/>
    <w:rsid w:val="00A17053"/>
    <w:rsid w:val="00A17354"/>
    <w:rsid w:val="00A173EB"/>
    <w:rsid w:val="00A20256"/>
    <w:rsid w:val="00A20FC9"/>
    <w:rsid w:val="00A213E0"/>
    <w:rsid w:val="00A223C8"/>
    <w:rsid w:val="00A22D7E"/>
    <w:rsid w:val="00A23A42"/>
    <w:rsid w:val="00A24504"/>
    <w:rsid w:val="00A25AE6"/>
    <w:rsid w:val="00A26D8F"/>
    <w:rsid w:val="00A316EA"/>
    <w:rsid w:val="00A354F6"/>
    <w:rsid w:val="00A36155"/>
    <w:rsid w:val="00A37A55"/>
    <w:rsid w:val="00A4096F"/>
    <w:rsid w:val="00A43C6F"/>
    <w:rsid w:val="00A44C46"/>
    <w:rsid w:val="00A45A32"/>
    <w:rsid w:val="00A47CBA"/>
    <w:rsid w:val="00A528E4"/>
    <w:rsid w:val="00A533C6"/>
    <w:rsid w:val="00A5462F"/>
    <w:rsid w:val="00A558C2"/>
    <w:rsid w:val="00A57496"/>
    <w:rsid w:val="00A576AA"/>
    <w:rsid w:val="00A601A0"/>
    <w:rsid w:val="00A64AE5"/>
    <w:rsid w:val="00A66840"/>
    <w:rsid w:val="00A701F3"/>
    <w:rsid w:val="00A71FB1"/>
    <w:rsid w:val="00A72616"/>
    <w:rsid w:val="00A72858"/>
    <w:rsid w:val="00A73197"/>
    <w:rsid w:val="00A814F1"/>
    <w:rsid w:val="00A8331D"/>
    <w:rsid w:val="00A851F4"/>
    <w:rsid w:val="00A86497"/>
    <w:rsid w:val="00A87042"/>
    <w:rsid w:val="00A873E1"/>
    <w:rsid w:val="00A90772"/>
    <w:rsid w:val="00A93373"/>
    <w:rsid w:val="00A94FB1"/>
    <w:rsid w:val="00A9644C"/>
    <w:rsid w:val="00A9752F"/>
    <w:rsid w:val="00AA498B"/>
    <w:rsid w:val="00AA4E39"/>
    <w:rsid w:val="00AB6892"/>
    <w:rsid w:val="00AC1683"/>
    <w:rsid w:val="00AC28F3"/>
    <w:rsid w:val="00AC3B37"/>
    <w:rsid w:val="00AC4219"/>
    <w:rsid w:val="00AC44EF"/>
    <w:rsid w:val="00AC5756"/>
    <w:rsid w:val="00AC577A"/>
    <w:rsid w:val="00AD1477"/>
    <w:rsid w:val="00AD1E82"/>
    <w:rsid w:val="00AD537D"/>
    <w:rsid w:val="00AD5392"/>
    <w:rsid w:val="00AD5BBA"/>
    <w:rsid w:val="00AE10E9"/>
    <w:rsid w:val="00AE1839"/>
    <w:rsid w:val="00AE1E59"/>
    <w:rsid w:val="00AE2DE3"/>
    <w:rsid w:val="00AE5476"/>
    <w:rsid w:val="00AE61C3"/>
    <w:rsid w:val="00AE6507"/>
    <w:rsid w:val="00AF155B"/>
    <w:rsid w:val="00AF247E"/>
    <w:rsid w:val="00AF2ABE"/>
    <w:rsid w:val="00AF3F5B"/>
    <w:rsid w:val="00AF7EAD"/>
    <w:rsid w:val="00B01C39"/>
    <w:rsid w:val="00B065FB"/>
    <w:rsid w:val="00B068D7"/>
    <w:rsid w:val="00B1098D"/>
    <w:rsid w:val="00B11AB6"/>
    <w:rsid w:val="00B13B14"/>
    <w:rsid w:val="00B150B6"/>
    <w:rsid w:val="00B17651"/>
    <w:rsid w:val="00B219E8"/>
    <w:rsid w:val="00B22B62"/>
    <w:rsid w:val="00B25BE3"/>
    <w:rsid w:val="00B263AC"/>
    <w:rsid w:val="00B31727"/>
    <w:rsid w:val="00B3200E"/>
    <w:rsid w:val="00B33481"/>
    <w:rsid w:val="00B336E2"/>
    <w:rsid w:val="00B35015"/>
    <w:rsid w:val="00B36D96"/>
    <w:rsid w:val="00B374EB"/>
    <w:rsid w:val="00B3760E"/>
    <w:rsid w:val="00B401E1"/>
    <w:rsid w:val="00B423B5"/>
    <w:rsid w:val="00B4565E"/>
    <w:rsid w:val="00B46863"/>
    <w:rsid w:val="00B46CF3"/>
    <w:rsid w:val="00B5358B"/>
    <w:rsid w:val="00B6179B"/>
    <w:rsid w:val="00B63FCB"/>
    <w:rsid w:val="00B64D57"/>
    <w:rsid w:val="00B64F58"/>
    <w:rsid w:val="00B6593B"/>
    <w:rsid w:val="00B662E6"/>
    <w:rsid w:val="00B663AE"/>
    <w:rsid w:val="00B664A0"/>
    <w:rsid w:val="00B70CA0"/>
    <w:rsid w:val="00B71897"/>
    <w:rsid w:val="00B71EBD"/>
    <w:rsid w:val="00B73BD5"/>
    <w:rsid w:val="00B75502"/>
    <w:rsid w:val="00B75A90"/>
    <w:rsid w:val="00B769E8"/>
    <w:rsid w:val="00B80773"/>
    <w:rsid w:val="00B841CD"/>
    <w:rsid w:val="00B8660B"/>
    <w:rsid w:val="00B86B46"/>
    <w:rsid w:val="00B87C9B"/>
    <w:rsid w:val="00B90D14"/>
    <w:rsid w:val="00B90E0C"/>
    <w:rsid w:val="00B91455"/>
    <w:rsid w:val="00B91ABC"/>
    <w:rsid w:val="00B935C4"/>
    <w:rsid w:val="00B94ECE"/>
    <w:rsid w:val="00BA0DEF"/>
    <w:rsid w:val="00BA1769"/>
    <w:rsid w:val="00BA298B"/>
    <w:rsid w:val="00BA4815"/>
    <w:rsid w:val="00BA51EE"/>
    <w:rsid w:val="00BA5E33"/>
    <w:rsid w:val="00BB2A25"/>
    <w:rsid w:val="00BB6C57"/>
    <w:rsid w:val="00BB70D3"/>
    <w:rsid w:val="00BC13BF"/>
    <w:rsid w:val="00BC1A11"/>
    <w:rsid w:val="00BD0386"/>
    <w:rsid w:val="00BD0DDF"/>
    <w:rsid w:val="00BD19D3"/>
    <w:rsid w:val="00BD1B63"/>
    <w:rsid w:val="00BD4B50"/>
    <w:rsid w:val="00BD6A45"/>
    <w:rsid w:val="00BE0383"/>
    <w:rsid w:val="00BE1F64"/>
    <w:rsid w:val="00BE5BD5"/>
    <w:rsid w:val="00BE7A51"/>
    <w:rsid w:val="00C0283A"/>
    <w:rsid w:val="00C034CF"/>
    <w:rsid w:val="00C045FB"/>
    <w:rsid w:val="00C05A9B"/>
    <w:rsid w:val="00C07B6C"/>
    <w:rsid w:val="00C12C93"/>
    <w:rsid w:val="00C14550"/>
    <w:rsid w:val="00C17196"/>
    <w:rsid w:val="00C173C9"/>
    <w:rsid w:val="00C173F4"/>
    <w:rsid w:val="00C204A1"/>
    <w:rsid w:val="00C208AA"/>
    <w:rsid w:val="00C21EF6"/>
    <w:rsid w:val="00C223C0"/>
    <w:rsid w:val="00C22A83"/>
    <w:rsid w:val="00C22BBE"/>
    <w:rsid w:val="00C22CEE"/>
    <w:rsid w:val="00C233CA"/>
    <w:rsid w:val="00C23DC2"/>
    <w:rsid w:val="00C2570B"/>
    <w:rsid w:val="00C309F0"/>
    <w:rsid w:val="00C35094"/>
    <w:rsid w:val="00C3625E"/>
    <w:rsid w:val="00C40EF6"/>
    <w:rsid w:val="00C435E7"/>
    <w:rsid w:val="00C43721"/>
    <w:rsid w:val="00C5013B"/>
    <w:rsid w:val="00C503D2"/>
    <w:rsid w:val="00C50439"/>
    <w:rsid w:val="00C52A7D"/>
    <w:rsid w:val="00C54033"/>
    <w:rsid w:val="00C609B4"/>
    <w:rsid w:val="00C60B05"/>
    <w:rsid w:val="00C616B2"/>
    <w:rsid w:val="00C66DBC"/>
    <w:rsid w:val="00C66F62"/>
    <w:rsid w:val="00C67BEC"/>
    <w:rsid w:val="00C709D9"/>
    <w:rsid w:val="00C741E7"/>
    <w:rsid w:val="00C74254"/>
    <w:rsid w:val="00C759D4"/>
    <w:rsid w:val="00C811B7"/>
    <w:rsid w:val="00C82B8C"/>
    <w:rsid w:val="00C86720"/>
    <w:rsid w:val="00C912AB"/>
    <w:rsid w:val="00C92BF6"/>
    <w:rsid w:val="00C960DC"/>
    <w:rsid w:val="00C9771A"/>
    <w:rsid w:val="00C97BD9"/>
    <w:rsid w:val="00C97F10"/>
    <w:rsid w:val="00CA5659"/>
    <w:rsid w:val="00CB3834"/>
    <w:rsid w:val="00CB504E"/>
    <w:rsid w:val="00CB5113"/>
    <w:rsid w:val="00CB73A8"/>
    <w:rsid w:val="00CB7441"/>
    <w:rsid w:val="00CB7FD9"/>
    <w:rsid w:val="00CC65F0"/>
    <w:rsid w:val="00CD1AED"/>
    <w:rsid w:val="00CD268F"/>
    <w:rsid w:val="00CD3300"/>
    <w:rsid w:val="00CD3A51"/>
    <w:rsid w:val="00CD42D5"/>
    <w:rsid w:val="00CD7DAC"/>
    <w:rsid w:val="00CE3CA3"/>
    <w:rsid w:val="00CE5E7F"/>
    <w:rsid w:val="00CE6192"/>
    <w:rsid w:val="00CE6C64"/>
    <w:rsid w:val="00CE72A3"/>
    <w:rsid w:val="00CE7DBA"/>
    <w:rsid w:val="00CF06EA"/>
    <w:rsid w:val="00CF0D1E"/>
    <w:rsid w:val="00CF2A98"/>
    <w:rsid w:val="00D006C2"/>
    <w:rsid w:val="00D03C27"/>
    <w:rsid w:val="00D115B7"/>
    <w:rsid w:val="00D11700"/>
    <w:rsid w:val="00D13417"/>
    <w:rsid w:val="00D16CDF"/>
    <w:rsid w:val="00D21391"/>
    <w:rsid w:val="00D23C6B"/>
    <w:rsid w:val="00D24611"/>
    <w:rsid w:val="00D279C1"/>
    <w:rsid w:val="00D30A98"/>
    <w:rsid w:val="00D358EE"/>
    <w:rsid w:val="00D4190C"/>
    <w:rsid w:val="00D41BD8"/>
    <w:rsid w:val="00D511F3"/>
    <w:rsid w:val="00D52F77"/>
    <w:rsid w:val="00D57BC4"/>
    <w:rsid w:val="00D57F9C"/>
    <w:rsid w:val="00D57FD7"/>
    <w:rsid w:val="00D6592D"/>
    <w:rsid w:val="00D66341"/>
    <w:rsid w:val="00D66DC3"/>
    <w:rsid w:val="00D701AE"/>
    <w:rsid w:val="00D71E44"/>
    <w:rsid w:val="00D72006"/>
    <w:rsid w:val="00D732D9"/>
    <w:rsid w:val="00D744A3"/>
    <w:rsid w:val="00D74854"/>
    <w:rsid w:val="00D74D18"/>
    <w:rsid w:val="00D8066B"/>
    <w:rsid w:val="00D8085F"/>
    <w:rsid w:val="00D8202F"/>
    <w:rsid w:val="00D84886"/>
    <w:rsid w:val="00D9071B"/>
    <w:rsid w:val="00D92013"/>
    <w:rsid w:val="00D944FB"/>
    <w:rsid w:val="00D9642C"/>
    <w:rsid w:val="00D96520"/>
    <w:rsid w:val="00D97470"/>
    <w:rsid w:val="00DA18FB"/>
    <w:rsid w:val="00DA2CAA"/>
    <w:rsid w:val="00DA3A78"/>
    <w:rsid w:val="00DA3E5B"/>
    <w:rsid w:val="00DA4790"/>
    <w:rsid w:val="00DA584B"/>
    <w:rsid w:val="00DA5ABF"/>
    <w:rsid w:val="00DB0CC2"/>
    <w:rsid w:val="00DB4C8E"/>
    <w:rsid w:val="00DC3461"/>
    <w:rsid w:val="00DC3942"/>
    <w:rsid w:val="00DC4E81"/>
    <w:rsid w:val="00DC7B90"/>
    <w:rsid w:val="00DD0F48"/>
    <w:rsid w:val="00DD30CC"/>
    <w:rsid w:val="00DD334C"/>
    <w:rsid w:val="00DD49F3"/>
    <w:rsid w:val="00DE1DB2"/>
    <w:rsid w:val="00DE1EA8"/>
    <w:rsid w:val="00DE35B0"/>
    <w:rsid w:val="00DE69C5"/>
    <w:rsid w:val="00DE70CD"/>
    <w:rsid w:val="00DF087B"/>
    <w:rsid w:val="00DF12C8"/>
    <w:rsid w:val="00DF57C6"/>
    <w:rsid w:val="00DF5BB3"/>
    <w:rsid w:val="00DF6320"/>
    <w:rsid w:val="00DF7352"/>
    <w:rsid w:val="00E0314B"/>
    <w:rsid w:val="00E03879"/>
    <w:rsid w:val="00E05A15"/>
    <w:rsid w:val="00E104F1"/>
    <w:rsid w:val="00E1197C"/>
    <w:rsid w:val="00E13F74"/>
    <w:rsid w:val="00E144DE"/>
    <w:rsid w:val="00E14547"/>
    <w:rsid w:val="00E14890"/>
    <w:rsid w:val="00E15627"/>
    <w:rsid w:val="00E16F3F"/>
    <w:rsid w:val="00E213CE"/>
    <w:rsid w:val="00E22288"/>
    <w:rsid w:val="00E231DF"/>
    <w:rsid w:val="00E23224"/>
    <w:rsid w:val="00E239D1"/>
    <w:rsid w:val="00E268EC"/>
    <w:rsid w:val="00E337E2"/>
    <w:rsid w:val="00E34FA7"/>
    <w:rsid w:val="00E3649E"/>
    <w:rsid w:val="00E4069C"/>
    <w:rsid w:val="00E408A5"/>
    <w:rsid w:val="00E40BFD"/>
    <w:rsid w:val="00E41666"/>
    <w:rsid w:val="00E43624"/>
    <w:rsid w:val="00E45AF9"/>
    <w:rsid w:val="00E51D10"/>
    <w:rsid w:val="00E558CA"/>
    <w:rsid w:val="00E564D3"/>
    <w:rsid w:val="00E56921"/>
    <w:rsid w:val="00E6003F"/>
    <w:rsid w:val="00E60FCD"/>
    <w:rsid w:val="00E63D22"/>
    <w:rsid w:val="00E64301"/>
    <w:rsid w:val="00E64885"/>
    <w:rsid w:val="00E70D0A"/>
    <w:rsid w:val="00E71A2E"/>
    <w:rsid w:val="00E739FE"/>
    <w:rsid w:val="00E740CD"/>
    <w:rsid w:val="00E77386"/>
    <w:rsid w:val="00E77DDC"/>
    <w:rsid w:val="00E808A8"/>
    <w:rsid w:val="00E85569"/>
    <w:rsid w:val="00E85EC0"/>
    <w:rsid w:val="00E903F4"/>
    <w:rsid w:val="00E9136A"/>
    <w:rsid w:val="00E92F04"/>
    <w:rsid w:val="00E937D8"/>
    <w:rsid w:val="00E97AEA"/>
    <w:rsid w:val="00EA0543"/>
    <w:rsid w:val="00EA0D84"/>
    <w:rsid w:val="00EA1A95"/>
    <w:rsid w:val="00EA3365"/>
    <w:rsid w:val="00EA579B"/>
    <w:rsid w:val="00EA693E"/>
    <w:rsid w:val="00EA7C93"/>
    <w:rsid w:val="00EA7E25"/>
    <w:rsid w:val="00EB1F64"/>
    <w:rsid w:val="00EB4EFF"/>
    <w:rsid w:val="00EB5609"/>
    <w:rsid w:val="00EB5872"/>
    <w:rsid w:val="00EB60B6"/>
    <w:rsid w:val="00EB6526"/>
    <w:rsid w:val="00EC1E45"/>
    <w:rsid w:val="00EC23D4"/>
    <w:rsid w:val="00EC3741"/>
    <w:rsid w:val="00EC4F87"/>
    <w:rsid w:val="00EC5F9E"/>
    <w:rsid w:val="00ED2494"/>
    <w:rsid w:val="00EE5747"/>
    <w:rsid w:val="00EE6EB7"/>
    <w:rsid w:val="00EE7390"/>
    <w:rsid w:val="00EF1634"/>
    <w:rsid w:val="00EF17C4"/>
    <w:rsid w:val="00EF1B16"/>
    <w:rsid w:val="00EF2314"/>
    <w:rsid w:val="00EF415E"/>
    <w:rsid w:val="00EF7D37"/>
    <w:rsid w:val="00EF7D95"/>
    <w:rsid w:val="00F0135F"/>
    <w:rsid w:val="00F032E9"/>
    <w:rsid w:val="00F15053"/>
    <w:rsid w:val="00F202C2"/>
    <w:rsid w:val="00F207F6"/>
    <w:rsid w:val="00F22383"/>
    <w:rsid w:val="00F227A8"/>
    <w:rsid w:val="00F27F72"/>
    <w:rsid w:val="00F311F8"/>
    <w:rsid w:val="00F34AE0"/>
    <w:rsid w:val="00F357E4"/>
    <w:rsid w:val="00F36D11"/>
    <w:rsid w:val="00F42B31"/>
    <w:rsid w:val="00F519A6"/>
    <w:rsid w:val="00F53AA6"/>
    <w:rsid w:val="00F62B54"/>
    <w:rsid w:val="00F652C5"/>
    <w:rsid w:val="00F66B98"/>
    <w:rsid w:val="00F70E3F"/>
    <w:rsid w:val="00F73A4E"/>
    <w:rsid w:val="00F76085"/>
    <w:rsid w:val="00F80853"/>
    <w:rsid w:val="00F81A10"/>
    <w:rsid w:val="00F82763"/>
    <w:rsid w:val="00F83A06"/>
    <w:rsid w:val="00F83ECB"/>
    <w:rsid w:val="00F83F33"/>
    <w:rsid w:val="00F84139"/>
    <w:rsid w:val="00F84A61"/>
    <w:rsid w:val="00F84AAB"/>
    <w:rsid w:val="00F85981"/>
    <w:rsid w:val="00F87546"/>
    <w:rsid w:val="00F87C38"/>
    <w:rsid w:val="00F87F93"/>
    <w:rsid w:val="00F91518"/>
    <w:rsid w:val="00F92F5B"/>
    <w:rsid w:val="00F96628"/>
    <w:rsid w:val="00F97413"/>
    <w:rsid w:val="00FA2AF2"/>
    <w:rsid w:val="00FA31F1"/>
    <w:rsid w:val="00FA5167"/>
    <w:rsid w:val="00FB2547"/>
    <w:rsid w:val="00FB477A"/>
    <w:rsid w:val="00FC13A5"/>
    <w:rsid w:val="00FC1DA5"/>
    <w:rsid w:val="00FC2C0D"/>
    <w:rsid w:val="00FC769A"/>
    <w:rsid w:val="00FD0FDC"/>
    <w:rsid w:val="00FD2334"/>
    <w:rsid w:val="00FD3703"/>
    <w:rsid w:val="00FD4704"/>
    <w:rsid w:val="00FD7335"/>
    <w:rsid w:val="00FE11C4"/>
    <w:rsid w:val="00FE1C1C"/>
    <w:rsid w:val="00FE354E"/>
    <w:rsid w:val="00FE497E"/>
    <w:rsid w:val="00FE4D33"/>
    <w:rsid w:val="00FE67CE"/>
    <w:rsid w:val="00FE7484"/>
    <w:rsid w:val="00FF1136"/>
    <w:rsid w:val="00FF71AF"/>
    <w:rsid w:val="00FF7C62"/>
    <w:rsid w:val="1FFDCCCE"/>
    <w:rsid w:val="3BEF9598"/>
    <w:rsid w:val="3FBF6C94"/>
    <w:rsid w:val="3FFD72BA"/>
    <w:rsid w:val="537A48D3"/>
    <w:rsid w:val="53F72705"/>
    <w:rsid w:val="5FB6F8D0"/>
    <w:rsid w:val="6BDFBD15"/>
    <w:rsid w:val="6E5BDA01"/>
    <w:rsid w:val="6EF7E966"/>
    <w:rsid w:val="6FE4D069"/>
    <w:rsid w:val="6FEF42AC"/>
    <w:rsid w:val="79BF07EB"/>
    <w:rsid w:val="7DB7E365"/>
    <w:rsid w:val="7EBF440F"/>
    <w:rsid w:val="97F33C1F"/>
    <w:rsid w:val="B7F37F86"/>
    <w:rsid w:val="BB7F6062"/>
    <w:rsid w:val="BDF90A7A"/>
    <w:rsid w:val="BEFF1F92"/>
    <w:rsid w:val="BFBF0F66"/>
    <w:rsid w:val="D7FBE845"/>
    <w:rsid w:val="DBFFCD69"/>
    <w:rsid w:val="DFF7C706"/>
    <w:rsid w:val="F3EB8E83"/>
    <w:rsid w:val="F9FF5EC3"/>
    <w:rsid w:val="FBFE62E1"/>
    <w:rsid w:val="FD7FDAA5"/>
    <w:rsid w:val="FDFE0086"/>
    <w:rsid w:val="FE975327"/>
    <w:rsid w:val="FF9F384B"/>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qFormat/>
    <w:uiPriority w:val="99"/>
    <w:pPr>
      <w:jc w:val="left"/>
    </w:pPr>
  </w:style>
  <w:style w:type="paragraph" w:styleId="3">
    <w:name w:val="Balloon Text"/>
    <w:basedOn w:val="1"/>
    <w:link w:val="18"/>
    <w:qFormat/>
    <w:uiPriority w:val="99"/>
    <w:rPr>
      <w:sz w:val="18"/>
      <w:szCs w:val="18"/>
    </w:rPr>
  </w:style>
  <w:style w:type="paragraph" w:styleId="4">
    <w:name w:val="footer"/>
    <w:basedOn w:val="1"/>
    <w:link w:val="15"/>
    <w:qFormat/>
    <w:uiPriority w:val="99"/>
    <w:pPr>
      <w:tabs>
        <w:tab w:val="center" w:pos="4153"/>
        <w:tab w:val="right" w:pos="8306"/>
      </w:tabs>
      <w:snapToGrid w:val="0"/>
      <w:jc w:val="left"/>
    </w:pPr>
    <w:rPr>
      <w:sz w:val="18"/>
      <w:szCs w:val="18"/>
    </w:rPr>
  </w:style>
  <w:style w:type="paragraph" w:styleId="5">
    <w:name w:val="header"/>
    <w:basedOn w:val="1"/>
    <w:link w:val="14"/>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7">
    <w:name w:val="annotation subject"/>
    <w:basedOn w:val="2"/>
    <w:next w:val="2"/>
    <w:link w:val="17"/>
    <w:qFormat/>
    <w:uiPriority w:val="99"/>
    <w:rPr>
      <w:b/>
      <w:bCs/>
    </w:rPr>
  </w:style>
  <w:style w:type="table" w:styleId="9">
    <w:name w:val="Table Grid"/>
    <w:basedOn w:val="8"/>
    <w:qFormat/>
    <w:uiPriority w:val="99"/>
    <w:pPr>
      <w:widowControl w:val="0"/>
      <w:jc w:val="both"/>
    </w:pPr>
    <w:rPr>
      <w:rFonts w:eastAsia="方正仿宋简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99"/>
    <w:rPr>
      <w:rFonts w:cs="Times New Roman"/>
    </w:rPr>
  </w:style>
  <w:style w:type="character" w:styleId="12">
    <w:name w:val="Hyperlink"/>
    <w:basedOn w:val="10"/>
    <w:qFormat/>
    <w:uiPriority w:val="99"/>
    <w:rPr>
      <w:rFonts w:cs="Times New Roman"/>
      <w:color w:val="0000FF"/>
      <w:u w:val="single"/>
    </w:rPr>
  </w:style>
  <w:style w:type="character" w:styleId="13">
    <w:name w:val="annotation reference"/>
    <w:basedOn w:val="10"/>
    <w:qFormat/>
    <w:uiPriority w:val="99"/>
    <w:rPr>
      <w:rFonts w:cs="Times New Roman"/>
      <w:sz w:val="21"/>
    </w:rPr>
  </w:style>
  <w:style w:type="character" w:customStyle="1" w:styleId="14">
    <w:name w:val="页眉 Char"/>
    <w:basedOn w:val="10"/>
    <w:link w:val="5"/>
    <w:semiHidden/>
    <w:qFormat/>
    <w:uiPriority w:val="99"/>
    <w:rPr>
      <w:sz w:val="18"/>
      <w:szCs w:val="18"/>
    </w:rPr>
  </w:style>
  <w:style w:type="character" w:customStyle="1" w:styleId="15">
    <w:name w:val="页脚 Char"/>
    <w:basedOn w:val="10"/>
    <w:link w:val="4"/>
    <w:qFormat/>
    <w:uiPriority w:val="99"/>
    <w:rPr>
      <w:sz w:val="18"/>
      <w:szCs w:val="18"/>
    </w:rPr>
  </w:style>
  <w:style w:type="character" w:customStyle="1" w:styleId="16">
    <w:name w:val="批注文字 Char"/>
    <w:basedOn w:val="10"/>
    <w:link w:val="2"/>
    <w:qFormat/>
    <w:locked/>
    <w:uiPriority w:val="99"/>
    <w:rPr>
      <w:kern w:val="2"/>
      <w:sz w:val="24"/>
    </w:rPr>
  </w:style>
  <w:style w:type="character" w:customStyle="1" w:styleId="17">
    <w:name w:val="批注主题 Char"/>
    <w:basedOn w:val="16"/>
    <w:link w:val="7"/>
    <w:qFormat/>
    <w:locked/>
    <w:uiPriority w:val="99"/>
    <w:rPr>
      <w:b/>
    </w:rPr>
  </w:style>
  <w:style w:type="character" w:customStyle="1" w:styleId="18">
    <w:name w:val="批注框文本 Char"/>
    <w:basedOn w:val="10"/>
    <w:link w:val="3"/>
    <w:qFormat/>
    <w:locked/>
    <w:uiPriority w:val="99"/>
    <w:rPr>
      <w:kern w:val="2"/>
      <w:sz w:val="18"/>
    </w:rPr>
  </w:style>
  <w:style w:type="character" w:customStyle="1" w:styleId="19">
    <w:name w:val="font21"/>
    <w:basedOn w:val="10"/>
    <w:qFormat/>
    <w:uiPriority w:val="0"/>
    <w:rPr>
      <w:rFonts w:hint="eastAsia" w:ascii="宋体" w:hAnsi="宋体" w:eastAsia="宋体" w:cs="宋体"/>
      <w:color w:val="000000"/>
      <w:sz w:val="22"/>
      <w:szCs w:val="22"/>
      <w:u w:val="none"/>
    </w:rPr>
  </w:style>
  <w:style w:type="character" w:customStyle="1" w:styleId="20">
    <w:name w:val="font01"/>
    <w:basedOn w:val="10"/>
    <w:qFormat/>
    <w:uiPriority w:val="0"/>
    <w:rPr>
      <w:rFonts w:hint="eastAsia" w:ascii="宋体" w:hAnsi="宋体" w:eastAsia="宋体" w:cs="宋体"/>
      <w:color w:val="000000"/>
      <w:sz w:val="21"/>
      <w:szCs w:val="21"/>
      <w:u w:val="none"/>
    </w:rPr>
  </w:style>
  <w:style w:type="character" w:customStyle="1" w:styleId="21">
    <w:name w:val="font41"/>
    <w:basedOn w:val="10"/>
    <w:qFormat/>
    <w:uiPriority w:val="0"/>
    <w:rPr>
      <w:rFonts w:hint="eastAsia" w:ascii="宋体" w:hAnsi="宋体" w:eastAsia="宋体" w:cs="宋体"/>
      <w:color w:val="FF0000"/>
      <w:sz w:val="21"/>
      <w:szCs w:val="21"/>
      <w:u w:val="none"/>
    </w:rPr>
  </w:style>
  <w:style w:type="character" w:customStyle="1" w:styleId="22">
    <w:name w:val="font11"/>
    <w:basedOn w:val="10"/>
    <w:qFormat/>
    <w:uiPriority w:val="0"/>
    <w:rPr>
      <w:rFonts w:hint="eastAsia" w:ascii="宋体" w:hAnsi="宋体" w:eastAsia="宋体" w:cs="宋体"/>
      <w:color w:val="000000"/>
      <w:sz w:val="22"/>
      <w:szCs w:val="22"/>
      <w:u w:val="none"/>
    </w:rPr>
  </w:style>
  <w:style w:type="character" w:customStyle="1" w:styleId="23">
    <w:name w:val="font31"/>
    <w:basedOn w:val="10"/>
    <w:qFormat/>
    <w:uiPriority w:val="0"/>
    <w:rPr>
      <w:rFonts w:hint="eastAsia" w:ascii="宋体" w:hAnsi="宋体" w:eastAsia="宋体" w:cs="宋体"/>
      <w:color w:val="FF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 China</Company>
  <Pages>20</Pages>
  <Words>1191</Words>
  <Characters>6791</Characters>
  <Lines>56</Lines>
  <Paragraphs>15</Paragraphs>
  <TotalTime>5</TotalTime>
  <ScaleCrop>false</ScaleCrop>
  <LinksUpToDate>false</LinksUpToDate>
  <CharactersWithSpaces>7967</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2021-06-27T09:51:00Z</dcterms:created>
  <dc:creator>乐山质监局：詹育生</dc:creator>
  <cp:lastModifiedBy>UOS</cp:lastModifiedBy>
  <cp:lastPrinted>2023-03-04T15:43:00Z</cp:lastPrinted>
  <dcterms:modified xsi:type="dcterms:W3CDTF">2023-03-21T16:53:03Z</dcterms:modified>
  <dc:title>乐山市电梯维保单位量化管理实施办法（试行）</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