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jc w:val="center"/>
        <w:outlineLvl w:val="1"/>
        <w:rPr>
          <w:rFonts w:hint="eastAsia" w:ascii="方正小标宋简体" w:hAnsi="Arial" w:eastAsia="方正小标宋简体" w:cs="Arial"/>
          <w:bCs/>
          <w:kern w:val="36"/>
          <w:sz w:val="36"/>
          <w:szCs w:val="36"/>
        </w:rPr>
      </w:pPr>
      <w:bookmarkStart w:id="0" w:name="OLE_LINK4"/>
      <w:bookmarkStart w:id="1" w:name="OLE_LINK7"/>
      <w:bookmarkStart w:id="2" w:name="正文"/>
      <w:bookmarkStart w:id="3" w:name="OLE_LINK1"/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  <w:lang w:val="en-US" w:eastAsia="zh-CN"/>
        </w:rPr>
        <w:t>202</w:t>
      </w:r>
      <w:r>
        <w:rPr>
          <w:rFonts w:hint="default" w:ascii="方正小标宋简体" w:hAnsi="Arial" w:eastAsia="方正小标宋简体" w:cs="Arial"/>
          <w:bCs/>
          <w:kern w:val="36"/>
          <w:sz w:val="36"/>
          <w:szCs w:val="36"/>
          <w:lang w:val="en" w:eastAsia="zh-CN"/>
        </w:rPr>
        <w:t>2</w:t>
      </w: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</w:rPr>
        <w:t>年度</w:t>
      </w: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  <w:lang w:eastAsia="zh-CN"/>
        </w:rPr>
        <w:t>第一批四川省（乐山市）</w:t>
      </w: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</w:rPr>
        <w:t>地方标准制</w:t>
      </w: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  <w:lang w:eastAsia="zh-CN"/>
        </w:rPr>
        <w:t>定</w:t>
      </w: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</w:rPr>
        <w:t>项目</w:t>
      </w:r>
    </w:p>
    <w:p>
      <w:pPr>
        <w:widowControl/>
        <w:spacing w:line="800" w:lineRule="exact"/>
        <w:jc w:val="center"/>
        <w:outlineLvl w:val="1"/>
        <w:rPr>
          <w:rFonts w:ascii="方正小标宋简体" w:hAnsi="Arial" w:eastAsia="方正小标宋简体" w:cs="Arial"/>
          <w:bCs/>
          <w:kern w:val="36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kern w:val="36"/>
          <w:sz w:val="36"/>
          <w:szCs w:val="36"/>
        </w:rPr>
        <w:t>立项计划公示</w:t>
      </w:r>
    </w:p>
    <w:bookmarkEnd w:id="0"/>
    <w:p>
      <w:pPr>
        <w:spacing w:line="570" w:lineRule="exact"/>
        <w:rPr>
          <w:rFonts w:eastAsia="方正仿宋_GBK"/>
          <w:szCs w:val="32"/>
        </w:rPr>
      </w:pPr>
    </w:p>
    <w:p>
      <w:pPr>
        <w:widowControl/>
        <w:spacing w:line="600" w:lineRule="exact"/>
        <w:ind w:firstLine="632" w:firstLineChars="200"/>
        <w:jc w:val="left"/>
        <w:rPr>
          <w:rFonts w:ascii="方正仿宋简体" w:hAnsi="宋体" w:eastAsia="方正仿宋简体" w:cs="宋体"/>
          <w:color w:val="000000"/>
          <w:kern w:val="0"/>
          <w:szCs w:val="32"/>
        </w:rPr>
      </w:pPr>
      <w:bookmarkStart w:id="4" w:name="OLE_LINK8"/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根据</w:t>
      </w:r>
      <w:r>
        <w:rPr>
          <w:rFonts w:eastAsia="方正仿宋_GBK"/>
          <w:spacing w:val="15"/>
          <w:szCs w:val="32"/>
        </w:rPr>
        <w:t>《地方标准管理办法》</w:t>
      </w:r>
      <w:r>
        <w:rPr>
          <w:rFonts w:hint="eastAsia" w:eastAsia="方正仿宋_GBK"/>
          <w:spacing w:val="15"/>
          <w:szCs w:val="32"/>
          <w:lang w:eastAsia="zh-CN"/>
        </w:rPr>
        <w:t>（国家市场监督管理总局令第</w:t>
      </w:r>
      <w:r>
        <w:rPr>
          <w:rFonts w:hint="eastAsia" w:eastAsia="方正仿宋_GBK"/>
          <w:spacing w:val="15"/>
          <w:szCs w:val="32"/>
          <w:lang w:val="en-US" w:eastAsia="zh-CN"/>
        </w:rPr>
        <w:t>26号）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和《四川省地方标准管理办法》（省政府令第232号）有关规定，现将20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  <w:lang w:val="en-US" w:eastAsia="zh-CN"/>
        </w:rPr>
        <w:t>2</w:t>
      </w:r>
      <w:r>
        <w:rPr>
          <w:rFonts w:hint="default" w:ascii="方正仿宋简体" w:hAnsi="宋体" w:eastAsia="方正仿宋简体" w:cs="宋体"/>
          <w:color w:val="000000"/>
          <w:kern w:val="0"/>
          <w:szCs w:val="32"/>
          <w:lang w:val="en" w:eastAsia="zh-CN"/>
        </w:rPr>
        <w:t>2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年度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  <w:lang w:eastAsia="zh-CN"/>
        </w:rPr>
        <w:t>第一批四川省（乐山市）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地方标准制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  <w:lang w:eastAsia="zh-CN"/>
        </w:rPr>
        <w:t>定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项目立项计划予以公示。如有意见，请于20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  <w:lang w:val="en-US" w:eastAsia="zh-CN"/>
        </w:rPr>
        <w:t>2</w:t>
      </w:r>
      <w:r>
        <w:rPr>
          <w:rFonts w:hint="default" w:ascii="方正仿宋简体" w:hAnsi="宋体" w:eastAsia="方正仿宋简体" w:cs="宋体"/>
          <w:color w:val="000000"/>
          <w:kern w:val="0"/>
          <w:szCs w:val="32"/>
          <w:lang w:val="en" w:eastAsia="zh-CN"/>
        </w:rPr>
        <w:t>2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年</w:t>
      </w:r>
      <w:r>
        <w:rPr>
          <w:rFonts w:hint="default" w:ascii="方正仿宋简体" w:hAnsi="宋体" w:eastAsia="方正仿宋简体" w:cs="宋体"/>
          <w:color w:val="000000"/>
          <w:kern w:val="0"/>
          <w:szCs w:val="32"/>
          <w:lang w:val="en" w:eastAsia="zh-CN"/>
        </w:rPr>
        <w:t>7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月</w:t>
      </w:r>
      <w:r>
        <w:rPr>
          <w:rFonts w:hint="default" w:ascii="方正仿宋简体" w:hAnsi="宋体" w:eastAsia="方正仿宋简体" w:cs="宋体"/>
          <w:color w:val="000000"/>
          <w:kern w:val="0"/>
          <w:szCs w:val="32"/>
          <w:lang w:val="en" w:eastAsia="zh-CN"/>
        </w:rPr>
        <w:t>4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日前将意见以电子邮件或以书面材料形式向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  <w:lang w:eastAsia="zh-CN"/>
        </w:rPr>
        <w:t>乐山市市场监督管理局</w:t>
      </w:r>
      <w:r>
        <w:rPr>
          <w:rFonts w:hint="eastAsia" w:ascii="方正仿宋简体" w:hAnsi="宋体" w:eastAsia="方正仿宋简体" w:cs="宋体"/>
          <w:color w:val="000000"/>
          <w:kern w:val="0"/>
          <w:szCs w:val="32"/>
        </w:rPr>
        <w:t>提出。</w:t>
      </w:r>
    </w:p>
    <w:p>
      <w:pPr>
        <w:spacing w:line="570" w:lineRule="exact"/>
        <w:ind w:firstLine="632" w:firstLineChars="200"/>
        <w:rPr>
          <w:rFonts w:eastAsia="方正仿宋_GBK"/>
          <w:szCs w:val="32"/>
        </w:rPr>
      </w:pPr>
    </w:p>
    <w:p>
      <w:pPr>
        <w:spacing w:line="570" w:lineRule="exact"/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联系人：吴琼容</w:t>
      </w:r>
    </w:p>
    <w:p>
      <w:pPr>
        <w:spacing w:line="570" w:lineRule="exact"/>
        <w:ind w:firstLine="632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联系电话：</w:t>
      </w:r>
      <w:r>
        <w:rPr>
          <w:rFonts w:hint="eastAsia" w:eastAsia="方正仿宋_GBK"/>
          <w:szCs w:val="32"/>
          <w:lang w:val="en-US" w:eastAsia="zh-CN"/>
        </w:rPr>
        <w:t>0833-</w:t>
      </w:r>
      <w:r>
        <w:rPr>
          <w:rFonts w:eastAsia="方正仿宋_GBK"/>
          <w:szCs w:val="32"/>
        </w:rPr>
        <w:t>2437236</w:t>
      </w:r>
    </w:p>
    <w:p>
      <w:pPr>
        <w:spacing w:line="570" w:lineRule="exact"/>
        <w:ind w:firstLine="632" w:firstLineChars="200"/>
        <w:rPr>
          <w:rFonts w:hint="default" w:eastAsia="方正仿宋_GBK"/>
          <w:szCs w:val="32"/>
          <w:lang w:val="en-US" w:eastAsia="zh-CN"/>
        </w:rPr>
      </w:pPr>
      <w:r>
        <w:rPr>
          <w:rFonts w:hint="eastAsia" w:eastAsia="方正仿宋_GBK"/>
          <w:szCs w:val="32"/>
          <w:lang w:eastAsia="zh-CN"/>
        </w:rPr>
        <w:t>邮箱：</w:t>
      </w:r>
      <w:r>
        <w:rPr>
          <w:rFonts w:hint="eastAsia" w:eastAsia="方正仿宋_GBK"/>
          <w:szCs w:val="32"/>
          <w:lang w:val="en-US" w:eastAsia="zh-CN"/>
        </w:rPr>
        <w:t>459935765@qq.com</w:t>
      </w:r>
    </w:p>
    <w:p>
      <w:pPr>
        <w:spacing w:line="570" w:lineRule="exact"/>
        <w:ind w:firstLine="632" w:firstLineChars="200"/>
        <w:rPr>
          <w:rFonts w:eastAsia="方正仿宋_GBK"/>
          <w:szCs w:val="32"/>
        </w:rPr>
      </w:pPr>
    </w:p>
    <w:p>
      <w:pPr>
        <w:spacing w:line="570" w:lineRule="exact"/>
        <w:ind w:left="1580" w:leftChars="200" w:hanging="948" w:hangingChars="30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</w:t>
      </w:r>
      <w:bookmarkStart w:id="5" w:name="OLE_LINK5"/>
      <w:r>
        <w:rPr>
          <w:rFonts w:eastAsia="方正仿宋_GBK"/>
          <w:szCs w:val="32"/>
        </w:rPr>
        <w:t>20</w:t>
      </w:r>
      <w:r>
        <w:rPr>
          <w:rFonts w:hint="eastAsia" w:eastAsia="方正仿宋_GBK"/>
          <w:szCs w:val="32"/>
          <w:lang w:val="en-US" w:eastAsia="zh-CN"/>
        </w:rPr>
        <w:t>2</w:t>
      </w:r>
      <w:r>
        <w:rPr>
          <w:rFonts w:hint="default" w:eastAsia="方正仿宋_GBK"/>
          <w:szCs w:val="32"/>
          <w:lang w:val="en" w:eastAsia="zh-CN"/>
        </w:rPr>
        <w:t>2</w:t>
      </w:r>
      <w:r>
        <w:rPr>
          <w:rFonts w:eastAsia="方正仿宋_GBK"/>
          <w:szCs w:val="32"/>
        </w:rPr>
        <w:t>年度</w:t>
      </w:r>
      <w:r>
        <w:rPr>
          <w:rFonts w:hint="eastAsia" w:eastAsia="方正仿宋_GBK"/>
          <w:szCs w:val="32"/>
          <w:lang w:eastAsia="zh-CN"/>
        </w:rPr>
        <w:t>第一批四川省（</w:t>
      </w:r>
      <w:r>
        <w:rPr>
          <w:rFonts w:eastAsia="方正仿宋_GBK"/>
          <w:szCs w:val="32"/>
        </w:rPr>
        <w:t>乐山市</w:t>
      </w:r>
      <w:r>
        <w:rPr>
          <w:rFonts w:hint="eastAsia" w:eastAsia="方正仿宋_GBK"/>
          <w:szCs w:val="32"/>
          <w:lang w:eastAsia="zh-CN"/>
        </w:rPr>
        <w:t>）</w:t>
      </w:r>
      <w:r>
        <w:rPr>
          <w:rFonts w:eastAsia="方正仿宋_GBK"/>
          <w:szCs w:val="32"/>
        </w:rPr>
        <w:t>地方标准制定项目立项计划汇总表</w:t>
      </w:r>
    </w:p>
    <w:bookmarkEnd w:id="5"/>
    <w:p>
      <w:pPr>
        <w:spacing w:line="570" w:lineRule="exact"/>
        <w:rPr>
          <w:rFonts w:eastAsia="方正仿宋_GBK"/>
          <w:szCs w:val="32"/>
        </w:rPr>
      </w:pPr>
    </w:p>
    <w:p>
      <w:pPr>
        <w:spacing w:line="57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 乐山市</w:t>
      </w:r>
      <w:r>
        <w:rPr>
          <w:rFonts w:hint="eastAsia" w:eastAsia="方正仿宋_GBK"/>
          <w:szCs w:val="32"/>
          <w:lang w:eastAsia="zh-CN"/>
        </w:rPr>
        <w:t>市场监督管理</w:t>
      </w:r>
      <w:r>
        <w:rPr>
          <w:rFonts w:eastAsia="方正仿宋_GBK"/>
          <w:szCs w:val="32"/>
        </w:rPr>
        <w:t>局</w:t>
      </w:r>
    </w:p>
    <w:p>
      <w:pPr>
        <w:wordWrap w:val="0"/>
        <w:spacing w:line="570" w:lineRule="exact"/>
        <w:ind w:right="1264" w:rightChars="400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             20</w:t>
      </w:r>
      <w:r>
        <w:rPr>
          <w:rFonts w:hint="eastAsia" w:eastAsia="方正仿宋_GBK"/>
          <w:szCs w:val="32"/>
          <w:lang w:val="en-US" w:eastAsia="zh-CN"/>
        </w:rPr>
        <w:t>2</w:t>
      </w:r>
      <w:r>
        <w:rPr>
          <w:rFonts w:hint="default" w:eastAsia="方正仿宋_GBK"/>
          <w:szCs w:val="32"/>
          <w:lang w:val="en" w:eastAsia="zh-CN"/>
        </w:rPr>
        <w:t>2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6</w:t>
      </w:r>
      <w:r>
        <w:rPr>
          <w:rFonts w:eastAsia="方正仿宋_GBK"/>
          <w:szCs w:val="32"/>
        </w:rPr>
        <w:t>月</w:t>
      </w:r>
      <w:r>
        <w:rPr>
          <w:rFonts w:hint="default" w:eastAsia="方正仿宋_GBK"/>
          <w:szCs w:val="32"/>
          <w:lang w:val="en" w:eastAsia="zh-CN"/>
        </w:rPr>
        <w:t>15</w:t>
      </w:r>
      <w:r>
        <w:rPr>
          <w:rFonts w:eastAsia="方正仿宋_GBK"/>
          <w:szCs w:val="32"/>
        </w:rPr>
        <w:t>日</w:t>
      </w:r>
    </w:p>
    <w:p>
      <w:pPr>
        <w:spacing w:line="570" w:lineRule="exact"/>
        <w:rPr>
          <w:rFonts w:eastAsia="方正仿宋_GBK"/>
          <w:szCs w:val="32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435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720" w:firstLineChars="200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default" w:ascii="方正小标宋_GBK" w:eastAsia="方正小标宋_GBK"/>
          <w:sz w:val="36"/>
          <w:szCs w:val="36"/>
          <w:lang w:val="en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第一批四川省（</w:t>
      </w:r>
      <w:r>
        <w:rPr>
          <w:rFonts w:hint="eastAsia" w:ascii="方正小标宋_GBK" w:eastAsia="方正小标宋_GBK"/>
          <w:sz w:val="36"/>
          <w:szCs w:val="36"/>
        </w:rPr>
        <w:t>乐山市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  <w:r>
        <w:rPr>
          <w:rFonts w:hint="eastAsia" w:ascii="方正小标宋_GBK" w:eastAsia="方正小标宋_GBK"/>
          <w:sz w:val="36"/>
          <w:szCs w:val="36"/>
        </w:rPr>
        <w:t>地方标准制定项目立项计划汇总表</w:t>
      </w:r>
    </w:p>
    <w:tbl>
      <w:tblPr>
        <w:tblStyle w:val="2"/>
        <w:tblpPr w:leftFromText="180" w:rightFromText="180" w:vertAnchor="text" w:horzAnchor="page" w:tblpX="1706" w:tblpY="307"/>
        <w:tblOverlap w:val="never"/>
        <w:tblW w:w="14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345"/>
        <w:gridCol w:w="1293"/>
        <w:gridCol w:w="1515"/>
        <w:gridCol w:w="7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或修订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项目归口单位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油菜-玉米-大豆轮作高效栽培技术规程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乐山市农业科学研究院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油菜稀植轻简栽培技术规程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乐山市农业科学研究院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川黄柏种子种苗繁育技术规程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乐山市经济作物站、乐山市农业科学研究院、四川省食品药品学校、金口河区农业农村局、四川西府中药材科技有限公司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叠鞘石斛生产技术规程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乐山市经济作物站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乐山市农业科学研究院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四川省食品药品学校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夹江县农业农村局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四川雁川生物科技有限公司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黄连生产技术规程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乐山市经济作物站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乐山市农业科学研究院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四川省食品药品学校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峨眉山市农业农村局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峨眉山市国胜中药材种植专业合作社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柔毛淫羊藿生产技术规程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乐山市经济作物站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乐山市农业科学研究院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四川省食品药品学校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沙湾区农业农村局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沙湾区长宏中药材专业合作社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沐川银花栽培技术规程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市农业农村局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沐川县农业农村</w:t>
            </w:r>
            <w:bookmarkStart w:id="6" w:name="_GoBack"/>
            <w:bookmarkEnd w:id="6"/>
            <w:r>
              <w:rPr>
                <w:rFonts w:hint="eastAsia" w:ascii="仿宋_GB2312" w:hAnsi="仿宋_GB2312" w:cs="仿宋_GB2312"/>
                <w:sz w:val="21"/>
                <w:szCs w:val="21"/>
              </w:rPr>
              <w:t>局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沐川县金银花协会</w:t>
            </w:r>
          </w:p>
        </w:tc>
      </w:tr>
      <w:bookmarkEnd w:id="1"/>
      <w:bookmarkEnd w:id="2"/>
      <w:bookmarkEnd w:id="3"/>
      <w:bookmarkEnd w:id="4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706" w:tblpY="307"/>
        <w:tblOverlap w:val="never"/>
        <w:tblW w:w="14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345"/>
        <w:gridCol w:w="1293"/>
        <w:gridCol w:w="1515"/>
        <w:gridCol w:w="7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或修订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项目归口单位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  <w:t>8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嘉州菜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灯笼豆腐制作工艺规范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市商务局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乐山市嘉州美食文化研究院、乐山师范生命科学学院、乐山职业技术学院旅游系、乐山龚氏西霸豆腐大酒店、乐山市市中区庆园杨俊华饭店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  <w:t>9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嘉州菜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临江鳝丝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制作工艺规范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市商务局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乐山市嘉州美食文化研究院、乐山师范生命科学学院、乐山职业技术学院旅游系、乐山市临江鳝丝美食协会、乐山市市中区苏稽永生酒楼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"/>
              </w:rPr>
              <w:t>10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  <w:t>嘉州菜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嘉定白宰鸡制作工艺规范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市商务局</w:t>
            </w:r>
          </w:p>
        </w:tc>
        <w:tc>
          <w:tcPr>
            <w:tcW w:w="7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乐山市嘉州美食文化研究院、乐山师范生命科学学院、乐山职业技术学院旅游系、乐山黄鸡肉餐饮管理有限公司、乐山市五通桥区黄七孃黄鸡肉店、乐山金叶大酒店有限公司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5308"/>
    <w:rsid w:val="026E240D"/>
    <w:rsid w:val="10BC0533"/>
    <w:rsid w:val="13F55308"/>
    <w:rsid w:val="171E7D00"/>
    <w:rsid w:val="18C64E5E"/>
    <w:rsid w:val="191334D3"/>
    <w:rsid w:val="28832C80"/>
    <w:rsid w:val="358C701E"/>
    <w:rsid w:val="3A253754"/>
    <w:rsid w:val="412B296E"/>
    <w:rsid w:val="416C34AB"/>
    <w:rsid w:val="4C3D0F5B"/>
    <w:rsid w:val="4E834FFC"/>
    <w:rsid w:val="4FA62A48"/>
    <w:rsid w:val="50612A83"/>
    <w:rsid w:val="50A92246"/>
    <w:rsid w:val="510736B9"/>
    <w:rsid w:val="532C12BC"/>
    <w:rsid w:val="54E50073"/>
    <w:rsid w:val="5978202B"/>
    <w:rsid w:val="5BBB9A95"/>
    <w:rsid w:val="66BC64F1"/>
    <w:rsid w:val="68921B85"/>
    <w:rsid w:val="68EC7D16"/>
    <w:rsid w:val="7DD637E2"/>
    <w:rsid w:val="7FDE5EA1"/>
    <w:rsid w:val="EF5F5E0D"/>
    <w:rsid w:val="FBD197D9"/>
    <w:rsid w:val="FD7FA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2017-05-23T09:44:00Z</dcterms:created>
  <dc:creator>吴琼容</dc:creator>
  <cp:lastModifiedBy>WPS_249117956</cp:lastModifiedBy>
  <cp:lastPrinted>2020-06-17T03:04:00Z</cp:lastPrinted>
  <dcterms:modified xsi:type="dcterms:W3CDTF">2022-06-15T09:26:35Z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