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both"/>
        <w:rPr>
          <w:rFonts w:ascii="Times New Roman" w:hAnsi="Times New Roman" w:eastAsia="方正小标宋简体"/>
          <w:snapToGrid w:val="0"/>
          <w:color w:val="auto"/>
          <w:kern w:val="0"/>
          <w:sz w:val="52"/>
          <w:szCs w:val="52"/>
        </w:rPr>
      </w:pPr>
    </w:p>
    <w:p>
      <w:pPr>
        <w:widowControl/>
        <w:spacing w:line="1000" w:lineRule="exact"/>
        <w:ind w:firstLine="0" w:firstLineChars="0"/>
        <w:jc w:val="center"/>
        <w:rPr>
          <w:rFonts w:hint="eastAsia" w:ascii="Times New Roman" w:hAnsi="Times New Roman" w:eastAsia="方正小标宋简体" w:cs="方正小标宋简体"/>
          <w:color w:val="auto"/>
          <w:spacing w:val="-20"/>
          <w:w w:val="90"/>
          <w:kern w:val="0"/>
          <w:sz w:val="74"/>
          <w:szCs w:val="74"/>
          <w:u w:val="none"/>
        </w:rPr>
      </w:pPr>
      <w:r>
        <w:rPr>
          <w:rFonts w:hint="eastAsia" w:ascii="Times New Roman" w:hAnsi="Times New Roman" w:eastAsia="方正小标宋简体" w:cs="方正小标宋简体"/>
          <w:color w:val="auto"/>
          <w:spacing w:val="-20"/>
          <w:w w:val="90"/>
          <w:kern w:val="0"/>
          <w:sz w:val="74"/>
          <w:szCs w:val="74"/>
          <w:u w:val="none"/>
        </w:rPr>
        <w:t>乐山市市场监管现代化</w:t>
      </w:r>
    </w:p>
    <w:p>
      <w:pPr>
        <w:widowControl/>
        <w:spacing w:line="1000" w:lineRule="exact"/>
        <w:ind w:firstLine="0" w:firstLineChars="0"/>
        <w:jc w:val="center"/>
        <w:rPr>
          <w:rFonts w:hint="eastAsia" w:ascii="Times New Roman" w:hAnsi="Times New Roman" w:eastAsia="方正小标宋简体" w:cs="方正小标宋简体"/>
          <w:color w:val="auto"/>
          <w:spacing w:val="-20"/>
          <w:w w:val="90"/>
          <w:kern w:val="0"/>
          <w:sz w:val="74"/>
          <w:szCs w:val="74"/>
          <w:u w:val="none"/>
        </w:rPr>
      </w:pPr>
      <w:r>
        <w:rPr>
          <w:rFonts w:hint="eastAsia" w:ascii="Times New Roman" w:hAnsi="Times New Roman" w:eastAsia="方正小标宋简体" w:cs="方正小标宋简体"/>
          <w:color w:val="auto"/>
          <w:spacing w:val="-20"/>
          <w:w w:val="90"/>
          <w:kern w:val="0"/>
          <w:sz w:val="74"/>
          <w:szCs w:val="74"/>
          <w:u w:val="none"/>
        </w:rPr>
        <w:t>“十四五”规划</w:t>
      </w:r>
    </w:p>
    <w:p>
      <w:pPr>
        <w:widowControl/>
        <w:spacing w:line="1000" w:lineRule="exact"/>
        <w:ind w:firstLine="0" w:firstLineChars="0"/>
        <w:jc w:val="center"/>
        <w:rPr>
          <w:rFonts w:hint="eastAsia" w:ascii="Times New Roman" w:hAnsi="Times New Roman" w:eastAsia="方正小标宋简体" w:cs="方正小标宋简体"/>
          <w:color w:val="auto"/>
          <w:spacing w:val="-20"/>
          <w:w w:val="90"/>
          <w:kern w:val="0"/>
          <w:sz w:val="74"/>
          <w:szCs w:val="74"/>
          <w:u w:val="none"/>
        </w:rPr>
      </w:pPr>
      <w:r>
        <w:rPr>
          <w:rFonts w:hint="eastAsia" w:ascii="Times New Roman" w:hAnsi="Times New Roman" w:eastAsia="方正小标宋简体" w:cs="方正小标宋简体"/>
          <w:color w:val="auto"/>
          <w:spacing w:val="-20"/>
          <w:w w:val="90"/>
          <w:kern w:val="0"/>
          <w:sz w:val="74"/>
          <w:szCs w:val="74"/>
          <w:u w:val="none"/>
        </w:rPr>
        <w:t>（2021-2025年）</w:t>
      </w:r>
    </w:p>
    <w:p>
      <w:pPr>
        <w:widowControl/>
        <w:spacing w:line="1000" w:lineRule="exact"/>
        <w:ind w:firstLine="0" w:firstLineChars="0"/>
        <w:jc w:val="center"/>
        <w:rPr>
          <w:rFonts w:hint="eastAsia" w:ascii="Times New Roman" w:hAnsi="Times New Roman" w:eastAsia="方正小标宋简体" w:cs="方正小标宋简体"/>
          <w:color w:val="auto"/>
          <w:spacing w:val="-20"/>
          <w:w w:val="90"/>
          <w:kern w:val="0"/>
          <w:sz w:val="74"/>
          <w:szCs w:val="74"/>
          <w:u w:val="none"/>
        </w:rPr>
      </w:pPr>
    </w:p>
    <w:p>
      <w:pPr>
        <w:ind w:firstLine="3276" w:firstLineChars="819"/>
        <w:jc w:val="both"/>
        <w:rPr>
          <w:rFonts w:hint="eastAsia" w:ascii="楷体_GB2312" w:hAnsi="楷体_GB2312" w:eastAsia="楷体_GB2312" w:cs="楷体_GB2312"/>
          <w:bCs/>
          <w:color w:val="auto"/>
          <w:sz w:val="40"/>
          <w:szCs w:val="40"/>
          <w:lang w:eastAsia="zh-CN"/>
        </w:rPr>
      </w:pPr>
      <w:r>
        <w:rPr>
          <w:rFonts w:hint="eastAsia" w:ascii="楷体_GB2312" w:hAnsi="楷体_GB2312" w:eastAsia="楷体_GB2312" w:cs="楷体_GB2312"/>
          <w:bCs/>
          <w:color w:val="auto"/>
          <w:sz w:val="40"/>
          <w:szCs w:val="40"/>
          <w:lang w:eastAsia="zh-CN"/>
        </w:rPr>
        <w:t>（征求意见稿）</w:t>
      </w:r>
    </w:p>
    <w:p>
      <w:pPr>
        <w:ind w:firstLine="880"/>
        <w:jc w:val="center"/>
        <w:rPr>
          <w:rFonts w:ascii="黑体" w:hAnsi="黑体" w:eastAsia="黑体"/>
          <w:bCs/>
          <w:color w:val="auto"/>
          <w:sz w:val="44"/>
          <w:szCs w:val="44"/>
        </w:rPr>
      </w:pPr>
    </w:p>
    <w:p>
      <w:pPr>
        <w:ind w:firstLine="880"/>
        <w:jc w:val="center"/>
        <w:rPr>
          <w:rFonts w:ascii="黑体" w:hAnsi="黑体" w:eastAsia="黑体"/>
          <w:bCs/>
          <w:color w:val="auto"/>
          <w:sz w:val="44"/>
          <w:szCs w:val="44"/>
        </w:rPr>
      </w:pPr>
    </w:p>
    <w:p>
      <w:pPr>
        <w:ind w:firstLine="880"/>
        <w:jc w:val="center"/>
        <w:rPr>
          <w:rFonts w:ascii="黑体" w:hAnsi="黑体" w:eastAsia="黑体"/>
          <w:bCs/>
          <w:color w:val="auto"/>
          <w:sz w:val="44"/>
          <w:szCs w:val="44"/>
        </w:rPr>
      </w:pPr>
    </w:p>
    <w:p>
      <w:pPr>
        <w:ind w:firstLine="880"/>
        <w:jc w:val="center"/>
        <w:rPr>
          <w:rFonts w:ascii="黑体" w:hAnsi="黑体" w:eastAsia="黑体"/>
          <w:bCs/>
          <w:color w:val="auto"/>
          <w:sz w:val="44"/>
          <w:szCs w:val="44"/>
        </w:rPr>
      </w:pPr>
    </w:p>
    <w:p>
      <w:pPr>
        <w:ind w:firstLine="880"/>
        <w:jc w:val="center"/>
        <w:rPr>
          <w:rFonts w:ascii="黑体" w:hAnsi="黑体" w:eastAsia="黑体"/>
          <w:bCs/>
          <w:color w:val="auto"/>
          <w:sz w:val="44"/>
          <w:szCs w:val="44"/>
        </w:rPr>
      </w:pPr>
    </w:p>
    <w:p>
      <w:pPr>
        <w:ind w:firstLine="880"/>
        <w:jc w:val="center"/>
        <w:rPr>
          <w:rFonts w:ascii="黑体" w:hAnsi="黑体" w:eastAsia="黑体"/>
          <w:bCs/>
          <w:color w:val="auto"/>
          <w:sz w:val="44"/>
          <w:szCs w:val="44"/>
        </w:rPr>
      </w:pPr>
    </w:p>
    <w:p>
      <w:pPr>
        <w:jc w:val="both"/>
        <w:rPr>
          <w:rFonts w:ascii="黑体" w:hAnsi="黑体" w:eastAsia="黑体"/>
          <w:bCs/>
          <w:color w:val="auto"/>
          <w:sz w:val="44"/>
          <w:szCs w:val="44"/>
        </w:rPr>
      </w:pPr>
    </w:p>
    <w:p>
      <w:pPr>
        <w:ind w:firstLine="880"/>
        <w:jc w:val="center"/>
        <w:rPr>
          <w:rFonts w:ascii="黑体" w:hAnsi="黑体" w:eastAsia="黑体"/>
          <w:bCs/>
          <w:color w:val="auto"/>
          <w:sz w:val="44"/>
          <w:szCs w:val="44"/>
        </w:rPr>
      </w:pPr>
    </w:p>
    <w:p>
      <w:pPr>
        <w:pStyle w:val="2"/>
        <w:rPr>
          <w:rFonts w:ascii="黑体" w:hAnsi="黑体" w:eastAsia="黑体"/>
          <w:bCs/>
          <w:color w:val="auto"/>
          <w:sz w:val="44"/>
          <w:szCs w:val="44"/>
        </w:rPr>
      </w:pPr>
    </w:p>
    <w:p>
      <w:pPr>
        <w:rPr>
          <w:color w:val="auto"/>
        </w:rPr>
      </w:pPr>
    </w:p>
    <w:p>
      <w:pPr>
        <w:widowControl/>
        <w:spacing w:line="600" w:lineRule="exact"/>
        <w:ind w:firstLine="0" w:firstLineChars="0"/>
        <w:jc w:val="center"/>
        <w:rPr>
          <w:rFonts w:hint="eastAsia" w:ascii="Times New Roman" w:hAnsi="Times New Roman" w:eastAsia="仿宋_GB2312" w:cs="仿宋_GB2312"/>
          <w:color w:val="auto"/>
          <w:kern w:val="0"/>
          <w:sz w:val="32"/>
          <w:szCs w:val="32"/>
          <w:u w:val="none"/>
          <w:lang w:eastAsia="zh-CN"/>
        </w:rPr>
      </w:pPr>
      <w:r>
        <w:rPr>
          <w:rFonts w:hint="eastAsia" w:ascii="Times New Roman" w:hAnsi="Times New Roman" w:eastAsia="仿宋_GB2312" w:cs="仿宋_GB2312"/>
          <w:color w:val="auto"/>
          <w:kern w:val="0"/>
          <w:sz w:val="32"/>
          <w:szCs w:val="32"/>
          <w:u w:val="none"/>
          <w:lang w:eastAsia="zh-CN"/>
        </w:rPr>
        <w:t>乐山市市场监督管理局</w:t>
      </w:r>
    </w:p>
    <w:p>
      <w:pPr>
        <w:widowControl/>
        <w:spacing w:line="600" w:lineRule="exact"/>
        <w:ind w:firstLine="0" w:firstLineChars="0"/>
        <w:jc w:val="center"/>
        <w:rPr>
          <w:rFonts w:hint="eastAsia" w:ascii="Times New Roman" w:hAnsi="Times New Roman" w:eastAsia="仿宋_GB2312" w:cs="仿宋_GB2312"/>
          <w:color w:val="auto"/>
          <w:kern w:val="0"/>
          <w:sz w:val="32"/>
          <w:szCs w:val="32"/>
          <w:u w:val="none"/>
        </w:rPr>
      </w:pPr>
      <w:r>
        <w:rPr>
          <w:rFonts w:hint="eastAsia" w:ascii="Times New Roman" w:hAnsi="Times New Roman" w:eastAsia="仿宋_GB2312" w:cs="仿宋_GB2312"/>
          <w:color w:val="auto"/>
          <w:kern w:val="0"/>
          <w:sz w:val="32"/>
          <w:szCs w:val="32"/>
          <w:u w:val="none"/>
        </w:rPr>
        <w:t>2021年</w:t>
      </w:r>
      <w:r>
        <w:rPr>
          <w:rFonts w:hint="eastAsia" w:ascii="Times New Roman" w:hAnsi="Times New Roman" w:eastAsia="仿宋_GB2312" w:cs="仿宋_GB2312"/>
          <w:color w:val="auto"/>
          <w:kern w:val="0"/>
          <w:sz w:val="32"/>
          <w:szCs w:val="32"/>
          <w:u w:val="none"/>
          <w:lang w:val="en-US" w:eastAsia="zh-CN"/>
        </w:rPr>
        <w:t>7</w:t>
      </w:r>
      <w:r>
        <w:rPr>
          <w:rFonts w:hint="eastAsia" w:ascii="Times New Roman" w:hAnsi="Times New Roman" w:eastAsia="仿宋_GB2312" w:cs="仿宋_GB2312"/>
          <w:color w:val="auto"/>
          <w:kern w:val="0"/>
          <w:sz w:val="32"/>
          <w:szCs w:val="32"/>
          <w:u w:val="none"/>
        </w:rPr>
        <w:t>月</w:t>
      </w:r>
    </w:p>
    <w:p>
      <w:pPr>
        <w:pStyle w:val="2"/>
        <w:rPr>
          <w:rFonts w:ascii="黑体" w:hAnsi="黑体" w:eastAsia="黑体"/>
          <w:bCs/>
          <w:color w:val="auto"/>
          <w:sz w:val="44"/>
          <w:szCs w:val="44"/>
        </w:rPr>
      </w:pPr>
    </w:p>
    <w:p>
      <w:pPr>
        <w:rPr>
          <w:color w:val="auto"/>
        </w:rPr>
      </w:pPr>
    </w:p>
    <w:sdt>
      <w:sdtPr>
        <w:rPr>
          <w:rFonts w:asciiTheme="minorHAnsi" w:hAnsiTheme="minorHAnsi" w:eastAsiaTheme="minorEastAsia" w:cstheme="minorBidi"/>
          <w:color w:val="auto"/>
          <w:kern w:val="2"/>
          <w:sz w:val="21"/>
          <w:szCs w:val="22"/>
          <w:lang w:val="zh-CN"/>
        </w:rPr>
        <w:id w:val="-1154373651"/>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45"/>
            <w:jc w:val="center"/>
            <w:rPr>
              <w:color w:val="auto"/>
            </w:rPr>
          </w:pPr>
          <w:r>
            <w:rPr>
              <w:rFonts w:hint="eastAsia" w:ascii="Times New Roman" w:hAnsi="Times New Roman" w:eastAsia="方正小标宋简体" w:cs="方正小标宋简体"/>
              <w:b w:val="0"/>
              <w:bCs w:val="0"/>
              <w:color w:val="auto"/>
              <w:kern w:val="0"/>
              <w:sz w:val="44"/>
              <w:szCs w:val="44"/>
              <w:u w:val="none"/>
              <w:lang w:val="zh-CN" w:eastAsia="zh-CN" w:bidi="ar-SA"/>
            </w:rPr>
            <w:t>目</w:t>
          </w:r>
          <w:r>
            <w:rPr>
              <w:rFonts w:hint="eastAsia" w:ascii="Times New Roman" w:hAnsi="Times New Roman" w:eastAsia="方正小标宋简体" w:cs="方正小标宋简体"/>
              <w:b w:val="0"/>
              <w:bCs w:val="0"/>
              <w:color w:val="auto"/>
              <w:kern w:val="0"/>
              <w:sz w:val="44"/>
              <w:szCs w:val="44"/>
              <w:u w:val="none"/>
              <w:lang w:val="en-US" w:eastAsia="zh-CN" w:bidi="ar-SA"/>
            </w:rPr>
            <w:t xml:space="preserve"> </w:t>
          </w:r>
          <w:r>
            <w:rPr>
              <w:rFonts w:hint="eastAsia" w:ascii="Times New Roman" w:hAnsi="Times New Roman" w:eastAsia="方正小标宋简体" w:cs="方正小标宋简体"/>
              <w:b w:val="0"/>
              <w:bCs w:val="0"/>
              <w:color w:val="auto"/>
              <w:kern w:val="0"/>
              <w:sz w:val="44"/>
              <w:szCs w:val="44"/>
              <w:u w:val="none"/>
              <w:lang w:val="zh-CN" w:eastAsia="zh-CN" w:bidi="ar-SA"/>
            </w:rPr>
            <w:t>录</w:t>
          </w:r>
        </w:p>
        <w:p>
          <w:pPr>
            <w:pStyle w:val="15"/>
            <w:tabs>
              <w:tab w:val="right" w:leader="dot" w:pos="9016"/>
            </w:tabs>
            <w:rPr>
              <w:rFonts w:cstheme="minorBidi"/>
              <w:color w:val="auto"/>
              <w:kern w:val="2"/>
              <w:sz w:val="21"/>
            </w:rPr>
          </w:pPr>
          <w:r>
            <w:rPr>
              <w:color w:val="auto"/>
            </w:rPr>
            <w:fldChar w:fldCharType="begin"/>
          </w:r>
          <w:r>
            <w:rPr>
              <w:color w:val="auto"/>
            </w:rPr>
            <w:instrText xml:space="preserve"> TOC \o "1-3" \h \z \u </w:instrText>
          </w:r>
          <w:r>
            <w:rPr>
              <w:color w:val="auto"/>
            </w:rPr>
            <w:fldChar w:fldCharType="separate"/>
          </w:r>
          <w:r>
            <w:rPr>
              <w:color w:val="auto"/>
            </w:rPr>
            <w:fldChar w:fldCharType="begin"/>
          </w:r>
          <w:r>
            <w:rPr>
              <w:color w:val="auto"/>
            </w:rPr>
            <w:instrText xml:space="preserve"> HYPERLINK \l "_Toc77261174" </w:instrText>
          </w:r>
          <w:r>
            <w:rPr>
              <w:color w:val="auto"/>
            </w:rPr>
            <w:fldChar w:fldCharType="separate"/>
          </w:r>
          <w:r>
            <w:rPr>
              <w:rStyle w:val="24"/>
              <w:rFonts w:ascii="Times New Roman" w:hAnsi="Times New Roman" w:eastAsia="黑体"/>
              <w:color w:val="auto"/>
            </w:rPr>
            <w:t>第一章  “十三五”时期成效和“十四五”时期发展形势</w:t>
          </w:r>
          <w:r>
            <w:rPr>
              <w:color w:val="auto"/>
            </w:rPr>
            <w:tab/>
          </w:r>
          <w:r>
            <w:rPr>
              <w:color w:val="auto"/>
            </w:rPr>
            <w:fldChar w:fldCharType="begin"/>
          </w:r>
          <w:r>
            <w:rPr>
              <w:color w:val="auto"/>
            </w:rPr>
            <w:instrText xml:space="preserve"> PAGEREF _Toc77261174 \h </w:instrText>
          </w:r>
          <w:r>
            <w:rPr>
              <w:color w:val="auto"/>
            </w:rPr>
            <w:fldChar w:fldCharType="separate"/>
          </w:r>
          <w:r>
            <w:rPr>
              <w:color w:val="auto"/>
            </w:rPr>
            <w:t>5</w:t>
          </w:r>
          <w:r>
            <w:rPr>
              <w:color w:val="auto"/>
            </w:rPr>
            <w:fldChar w:fldCharType="end"/>
          </w:r>
          <w:r>
            <w:rPr>
              <w:color w:val="auto"/>
            </w:rPr>
            <w:fldChar w:fldCharType="end"/>
          </w:r>
        </w:p>
        <w:p>
          <w:pPr>
            <w:pStyle w:val="17"/>
            <w:tabs>
              <w:tab w:val="right" w:leader="dot" w:pos="9016"/>
            </w:tabs>
            <w:rPr>
              <w:rFonts w:cstheme="minorBidi"/>
              <w:color w:val="auto"/>
              <w:kern w:val="2"/>
              <w:sz w:val="21"/>
            </w:rPr>
          </w:pPr>
          <w:r>
            <w:rPr>
              <w:color w:val="auto"/>
            </w:rPr>
            <w:fldChar w:fldCharType="begin"/>
          </w:r>
          <w:r>
            <w:rPr>
              <w:color w:val="auto"/>
            </w:rPr>
            <w:instrText xml:space="preserve"> HYPERLINK \l "_Toc77261175" </w:instrText>
          </w:r>
          <w:r>
            <w:rPr>
              <w:color w:val="auto"/>
            </w:rPr>
            <w:fldChar w:fldCharType="separate"/>
          </w:r>
          <w:r>
            <w:rPr>
              <w:rStyle w:val="24"/>
              <w:rFonts w:ascii="Times New Roman" w:hAnsi="Times New Roman" w:eastAsia="楷体_GB2312"/>
              <w:color w:val="auto"/>
            </w:rPr>
            <w:t>第一节  “十三五”取得的成效</w:t>
          </w:r>
          <w:r>
            <w:rPr>
              <w:color w:val="auto"/>
            </w:rPr>
            <w:tab/>
          </w:r>
          <w:r>
            <w:rPr>
              <w:color w:val="auto"/>
            </w:rPr>
            <w:fldChar w:fldCharType="begin"/>
          </w:r>
          <w:r>
            <w:rPr>
              <w:color w:val="auto"/>
            </w:rPr>
            <w:instrText xml:space="preserve"> PAGEREF _Toc77261175 \h </w:instrText>
          </w:r>
          <w:r>
            <w:rPr>
              <w:color w:val="auto"/>
            </w:rPr>
            <w:fldChar w:fldCharType="separate"/>
          </w:r>
          <w:r>
            <w:rPr>
              <w:color w:val="auto"/>
            </w:rPr>
            <w:t>5</w:t>
          </w:r>
          <w:r>
            <w:rPr>
              <w:color w:val="auto"/>
            </w:rPr>
            <w:fldChar w:fldCharType="end"/>
          </w:r>
          <w:r>
            <w:rPr>
              <w:color w:val="auto"/>
            </w:rPr>
            <w:fldChar w:fldCharType="end"/>
          </w:r>
        </w:p>
        <w:p>
          <w:pPr>
            <w:pStyle w:val="17"/>
            <w:tabs>
              <w:tab w:val="right" w:leader="dot" w:pos="9016"/>
            </w:tabs>
            <w:rPr>
              <w:rFonts w:cstheme="minorBidi"/>
              <w:color w:val="auto"/>
              <w:kern w:val="2"/>
              <w:sz w:val="21"/>
            </w:rPr>
          </w:pPr>
          <w:r>
            <w:rPr>
              <w:color w:val="auto"/>
            </w:rPr>
            <w:fldChar w:fldCharType="begin"/>
          </w:r>
          <w:r>
            <w:rPr>
              <w:color w:val="auto"/>
            </w:rPr>
            <w:instrText xml:space="preserve"> HYPERLINK \l "_Toc77261176" </w:instrText>
          </w:r>
          <w:r>
            <w:rPr>
              <w:color w:val="auto"/>
            </w:rPr>
            <w:fldChar w:fldCharType="separate"/>
          </w:r>
          <w:r>
            <w:rPr>
              <w:rStyle w:val="24"/>
              <w:rFonts w:ascii="Times New Roman" w:hAnsi="Times New Roman" w:eastAsia="楷体_GB2312"/>
              <w:color w:val="auto"/>
            </w:rPr>
            <w:t>第二节  “十四五”时期面临的发展形势</w:t>
          </w:r>
          <w:r>
            <w:rPr>
              <w:color w:val="auto"/>
            </w:rPr>
            <w:tab/>
          </w:r>
          <w:r>
            <w:rPr>
              <w:color w:val="auto"/>
            </w:rPr>
            <w:fldChar w:fldCharType="begin"/>
          </w:r>
          <w:r>
            <w:rPr>
              <w:color w:val="auto"/>
            </w:rPr>
            <w:instrText xml:space="preserve"> PAGEREF _Toc77261176 \h </w:instrText>
          </w:r>
          <w:r>
            <w:rPr>
              <w:color w:val="auto"/>
            </w:rPr>
            <w:fldChar w:fldCharType="separate"/>
          </w:r>
          <w:r>
            <w:rPr>
              <w:color w:val="auto"/>
            </w:rPr>
            <w:t>10</w:t>
          </w:r>
          <w:r>
            <w:rPr>
              <w:color w:val="auto"/>
            </w:rPr>
            <w:fldChar w:fldCharType="end"/>
          </w:r>
          <w:r>
            <w:rPr>
              <w:color w:val="auto"/>
            </w:rPr>
            <w:fldChar w:fldCharType="end"/>
          </w:r>
        </w:p>
        <w:p>
          <w:pPr>
            <w:pStyle w:val="15"/>
            <w:tabs>
              <w:tab w:val="right" w:leader="dot" w:pos="9016"/>
            </w:tabs>
            <w:rPr>
              <w:rFonts w:cstheme="minorBidi"/>
              <w:color w:val="auto"/>
              <w:kern w:val="2"/>
              <w:sz w:val="21"/>
            </w:rPr>
          </w:pPr>
          <w:r>
            <w:rPr>
              <w:color w:val="auto"/>
            </w:rPr>
            <w:fldChar w:fldCharType="begin"/>
          </w:r>
          <w:r>
            <w:rPr>
              <w:color w:val="auto"/>
            </w:rPr>
            <w:instrText xml:space="preserve"> HYPERLINK \l "_Toc77261177" </w:instrText>
          </w:r>
          <w:r>
            <w:rPr>
              <w:color w:val="auto"/>
            </w:rPr>
            <w:fldChar w:fldCharType="separate"/>
          </w:r>
          <w:r>
            <w:rPr>
              <w:rStyle w:val="24"/>
              <w:rFonts w:ascii="Times New Roman" w:hAnsi="Times New Roman" w:eastAsia="黑体"/>
              <w:color w:val="auto"/>
            </w:rPr>
            <w:t>第二章  总体要求</w:t>
          </w:r>
          <w:r>
            <w:rPr>
              <w:color w:val="auto"/>
            </w:rPr>
            <w:tab/>
          </w:r>
          <w:r>
            <w:rPr>
              <w:color w:val="auto"/>
            </w:rPr>
            <w:fldChar w:fldCharType="begin"/>
          </w:r>
          <w:r>
            <w:rPr>
              <w:color w:val="auto"/>
            </w:rPr>
            <w:instrText xml:space="preserve"> PAGEREF _Toc77261177 \h </w:instrText>
          </w:r>
          <w:r>
            <w:rPr>
              <w:color w:val="auto"/>
            </w:rPr>
            <w:fldChar w:fldCharType="separate"/>
          </w:r>
          <w:r>
            <w:rPr>
              <w:color w:val="auto"/>
            </w:rPr>
            <w:t>13</w:t>
          </w:r>
          <w:r>
            <w:rPr>
              <w:color w:val="auto"/>
            </w:rPr>
            <w:fldChar w:fldCharType="end"/>
          </w:r>
          <w:r>
            <w:rPr>
              <w:color w:val="auto"/>
            </w:rPr>
            <w:fldChar w:fldCharType="end"/>
          </w:r>
        </w:p>
        <w:p>
          <w:pPr>
            <w:pStyle w:val="17"/>
            <w:tabs>
              <w:tab w:val="right" w:leader="dot" w:pos="9016"/>
            </w:tabs>
            <w:rPr>
              <w:rFonts w:cstheme="minorBidi"/>
              <w:color w:val="auto"/>
              <w:kern w:val="2"/>
              <w:sz w:val="21"/>
            </w:rPr>
          </w:pPr>
          <w:r>
            <w:rPr>
              <w:color w:val="auto"/>
            </w:rPr>
            <w:fldChar w:fldCharType="begin"/>
          </w:r>
          <w:r>
            <w:rPr>
              <w:color w:val="auto"/>
            </w:rPr>
            <w:instrText xml:space="preserve"> HYPERLINK \l "_Toc77261178" </w:instrText>
          </w:r>
          <w:r>
            <w:rPr>
              <w:color w:val="auto"/>
            </w:rPr>
            <w:fldChar w:fldCharType="separate"/>
          </w:r>
          <w:r>
            <w:rPr>
              <w:rStyle w:val="24"/>
              <w:rFonts w:ascii="Times New Roman" w:hAnsi="Times New Roman" w:eastAsia="楷体_GB2312"/>
              <w:color w:val="auto"/>
            </w:rPr>
            <w:t>第一节  指导思想</w:t>
          </w:r>
          <w:r>
            <w:rPr>
              <w:color w:val="auto"/>
            </w:rPr>
            <w:tab/>
          </w:r>
          <w:r>
            <w:rPr>
              <w:color w:val="auto"/>
            </w:rPr>
            <w:fldChar w:fldCharType="begin"/>
          </w:r>
          <w:r>
            <w:rPr>
              <w:color w:val="auto"/>
            </w:rPr>
            <w:instrText xml:space="preserve"> PAGEREF _Toc77261178 \h </w:instrText>
          </w:r>
          <w:r>
            <w:rPr>
              <w:color w:val="auto"/>
            </w:rPr>
            <w:fldChar w:fldCharType="separate"/>
          </w:r>
          <w:r>
            <w:rPr>
              <w:color w:val="auto"/>
            </w:rPr>
            <w:t>13</w:t>
          </w:r>
          <w:r>
            <w:rPr>
              <w:color w:val="auto"/>
            </w:rPr>
            <w:fldChar w:fldCharType="end"/>
          </w:r>
          <w:r>
            <w:rPr>
              <w:color w:val="auto"/>
            </w:rPr>
            <w:fldChar w:fldCharType="end"/>
          </w:r>
        </w:p>
        <w:p>
          <w:pPr>
            <w:pStyle w:val="17"/>
            <w:tabs>
              <w:tab w:val="right" w:leader="dot" w:pos="9016"/>
            </w:tabs>
            <w:rPr>
              <w:rFonts w:cstheme="minorBidi"/>
              <w:color w:val="auto"/>
              <w:kern w:val="2"/>
              <w:sz w:val="21"/>
            </w:rPr>
          </w:pPr>
          <w:r>
            <w:rPr>
              <w:color w:val="auto"/>
            </w:rPr>
            <w:fldChar w:fldCharType="begin"/>
          </w:r>
          <w:r>
            <w:rPr>
              <w:color w:val="auto"/>
            </w:rPr>
            <w:instrText xml:space="preserve"> HYPERLINK \l "_Toc77261179" </w:instrText>
          </w:r>
          <w:r>
            <w:rPr>
              <w:color w:val="auto"/>
            </w:rPr>
            <w:fldChar w:fldCharType="separate"/>
          </w:r>
          <w:r>
            <w:rPr>
              <w:rStyle w:val="24"/>
              <w:rFonts w:ascii="Times New Roman" w:hAnsi="Times New Roman" w:eastAsia="楷体_GB2312"/>
              <w:color w:val="auto"/>
            </w:rPr>
            <w:t>第二节  基本原则</w:t>
          </w:r>
          <w:r>
            <w:rPr>
              <w:color w:val="auto"/>
            </w:rPr>
            <w:tab/>
          </w:r>
          <w:r>
            <w:rPr>
              <w:color w:val="auto"/>
            </w:rPr>
            <w:fldChar w:fldCharType="begin"/>
          </w:r>
          <w:r>
            <w:rPr>
              <w:color w:val="auto"/>
            </w:rPr>
            <w:instrText xml:space="preserve"> PAGEREF _Toc77261179 \h </w:instrText>
          </w:r>
          <w:r>
            <w:rPr>
              <w:color w:val="auto"/>
            </w:rPr>
            <w:fldChar w:fldCharType="separate"/>
          </w:r>
          <w:r>
            <w:rPr>
              <w:color w:val="auto"/>
            </w:rPr>
            <w:t>13</w:t>
          </w:r>
          <w:r>
            <w:rPr>
              <w:color w:val="auto"/>
            </w:rPr>
            <w:fldChar w:fldCharType="end"/>
          </w:r>
          <w:r>
            <w:rPr>
              <w:color w:val="auto"/>
            </w:rPr>
            <w:fldChar w:fldCharType="end"/>
          </w:r>
        </w:p>
        <w:p>
          <w:pPr>
            <w:pStyle w:val="17"/>
            <w:tabs>
              <w:tab w:val="right" w:leader="dot" w:pos="9016"/>
            </w:tabs>
            <w:rPr>
              <w:rFonts w:cstheme="minorBidi"/>
              <w:color w:val="auto"/>
              <w:kern w:val="2"/>
              <w:sz w:val="21"/>
            </w:rPr>
          </w:pPr>
          <w:r>
            <w:rPr>
              <w:color w:val="auto"/>
            </w:rPr>
            <w:fldChar w:fldCharType="begin"/>
          </w:r>
          <w:r>
            <w:rPr>
              <w:color w:val="auto"/>
            </w:rPr>
            <w:instrText xml:space="preserve"> HYPERLINK \l "_Toc77261180" </w:instrText>
          </w:r>
          <w:r>
            <w:rPr>
              <w:color w:val="auto"/>
            </w:rPr>
            <w:fldChar w:fldCharType="separate"/>
          </w:r>
          <w:r>
            <w:rPr>
              <w:rStyle w:val="24"/>
              <w:rFonts w:ascii="Times New Roman" w:hAnsi="Times New Roman" w:eastAsia="楷体_GB2312"/>
              <w:color w:val="auto"/>
            </w:rPr>
            <w:t>第三节 现代化定位</w:t>
          </w:r>
          <w:r>
            <w:rPr>
              <w:color w:val="auto"/>
            </w:rPr>
            <w:tab/>
          </w:r>
          <w:r>
            <w:rPr>
              <w:color w:val="auto"/>
            </w:rPr>
            <w:fldChar w:fldCharType="begin"/>
          </w:r>
          <w:r>
            <w:rPr>
              <w:color w:val="auto"/>
            </w:rPr>
            <w:instrText xml:space="preserve"> PAGEREF _Toc77261180 \h </w:instrText>
          </w:r>
          <w:r>
            <w:rPr>
              <w:color w:val="auto"/>
            </w:rPr>
            <w:fldChar w:fldCharType="separate"/>
          </w:r>
          <w:r>
            <w:rPr>
              <w:color w:val="auto"/>
            </w:rPr>
            <w:t>15</w:t>
          </w:r>
          <w:r>
            <w:rPr>
              <w:color w:val="auto"/>
            </w:rPr>
            <w:fldChar w:fldCharType="end"/>
          </w:r>
          <w:r>
            <w:rPr>
              <w:color w:val="auto"/>
            </w:rPr>
            <w:fldChar w:fldCharType="end"/>
          </w:r>
        </w:p>
        <w:p>
          <w:pPr>
            <w:pStyle w:val="17"/>
            <w:tabs>
              <w:tab w:val="right" w:leader="dot" w:pos="9016"/>
            </w:tabs>
            <w:rPr>
              <w:rFonts w:cstheme="minorBidi"/>
              <w:color w:val="auto"/>
              <w:kern w:val="2"/>
              <w:sz w:val="21"/>
            </w:rPr>
          </w:pPr>
          <w:r>
            <w:rPr>
              <w:color w:val="auto"/>
            </w:rPr>
            <w:fldChar w:fldCharType="begin"/>
          </w:r>
          <w:r>
            <w:rPr>
              <w:color w:val="auto"/>
            </w:rPr>
            <w:instrText xml:space="preserve"> HYPERLINK \l "_Toc77261181" </w:instrText>
          </w:r>
          <w:r>
            <w:rPr>
              <w:color w:val="auto"/>
            </w:rPr>
            <w:fldChar w:fldCharType="separate"/>
          </w:r>
          <w:r>
            <w:rPr>
              <w:rStyle w:val="24"/>
              <w:rFonts w:ascii="Times New Roman" w:hAnsi="Times New Roman" w:eastAsia="楷体_GB2312"/>
              <w:color w:val="auto"/>
            </w:rPr>
            <w:t>第四节 主要目标</w:t>
          </w:r>
          <w:r>
            <w:rPr>
              <w:color w:val="auto"/>
            </w:rPr>
            <w:tab/>
          </w:r>
          <w:r>
            <w:rPr>
              <w:color w:val="auto"/>
            </w:rPr>
            <w:fldChar w:fldCharType="begin"/>
          </w:r>
          <w:r>
            <w:rPr>
              <w:color w:val="auto"/>
            </w:rPr>
            <w:instrText xml:space="preserve"> PAGEREF _Toc77261181 \h </w:instrText>
          </w:r>
          <w:r>
            <w:rPr>
              <w:color w:val="auto"/>
            </w:rPr>
            <w:fldChar w:fldCharType="separate"/>
          </w:r>
          <w:r>
            <w:rPr>
              <w:color w:val="auto"/>
            </w:rPr>
            <w:t>16</w:t>
          </w:r>
          <w:r>
            <w:rPr>
              <w:color w:val="auto"/>
            </w:rPr>
            <w:fldChar w:fldCharType="end"/>
          </w:r>
          <w:r>
            <w:rPr>
              <w:color w:val="auto"/>
            </w:rPr>
            <w:fldChar w:fldCharType="end"/>
          </w:r>
        </w:p>
        <w:p>
          <w:pPr>
            <w:pStyle w:val="15"/>
            <w:tabs>
              <w:tab w:val="right" w:leader="dot" w:pos="9016"/>
            </w:tabs>
            <w:rPr>
              <w:rFonts w:cstheme="minorBidi"/>
              <w:color w:val="auto"/>
              <w:kern w:val="2"/>
              <w:sz w:val="21"/>
            </w:rPr>
          </w:pPr>
          <w:r>
            <w:rPr>
              <w:color w:val="auto"/>
            </w:rPr>
            <w:fldChar w:fldCharType="begin"/>
          </w:r>
          <w:r>
            <w:rPr>
              <w:color w:val="auto"/>
            </w:rPr>
            <w:instrText xml:space="preserve"> HYPERLINK \l "_Toc77261182" </w:instrText>
          </w:r>
          <w:r>
            <w:rPr>
              <w:color w:val="auto"/>
            </w:rPr>
            <w:fldChar w:fldCharType="separate"/>
          </w:r>
          <w:r>
            <w:rPr>
              <w:rStyle w:val="24"/>
              <w:rFonts w:ascii="Times New Roman" w:hAnsi="Times New Roman" w:eastAsia="黑体"/>
              <w:snapToGrid w:val="0"/>
              <w:color w:val="auto"/>
            </w:rPr>
            <w:t>第三章  重点任务</w:t>
          </w:r>
          <w:r>
            <w:rPr>
              <w:color w:val="auto"/>
            </w:rPr>
            <w:tab/>
          </w:r>
          <w:r>
            <w:rPr>
              <w:color w:val="auto"/>
            </w:rPr>
            <w:fldChar w:fldCharType="begin"/>
          </w:r>
          <w:r>
            <w:rPr>
              <w:color w:val="auto"/>
            </w:rPr>
            <w:instrText xml:space="preserve"> PAGEREF _Toc77261182 \h </w:instrText>
          </w:r>
          <w:r>
            <w:rPr>
              <w:color w:val="auto"/>
            </w:rPr>
            <w:fldChar w:fldCharType="separate"/>
          </w:r>
          <w:r>
            <w:rPr>
              <w:color w:val="auto"/>
            </w:rPr>
            <w:t>19</w:t>
          </w:r>
          <w:r>
            <w:rPr>
              <w:color w:val="auto"/>
            </w:rPr>
            <w:fldChar w:fldCharType="end"/>
          </w:r>
          <w:r>
            <w:rPr>
              <w:color w:val="auto"/>
            </w:rPr>
            <w:fldChar w:fldCharType="end"/>
          </w:r>
        </w:p>
        <w:p>
          <w:pPr>
            <w:pStyle w:val="17"/>
            <w:tabs>
              <w:tab w:val="right" w:leader="dot" w:pos="9016"/>
            </w:tabs>
            <w:rPr>
              <w:rFonts w:cstheme="minorBidi"/>
              <w:color w:val="auto"/>
              <w:kern w:val="2"/>
              <w:sz w:val="21"/>
            </w:rPr>
          </w:pPr>
          <w:r>
            <w:rPr>
              <w:color w:val="auto"/>
            </w:rPr>
            <w:fldChar w:fldCharType="begin"/>
          </w:r>
          <w:r>
            <w:rPr>
              <w:color w:val="auto"/>
            </w:rPr>
            <w:instrText xml:space="preserve"> HYPERLINK \l "_Toc77261183" </w:instrText>
          </w:r>
          <w:r>
            <w:rPr>
              <w:color w:val="auto"/>
            </w:rPr>
            <w:fldChar w:fldCharType="separate"/>
          </w:r>
          <w:r>
            <w:rPr>
              <w:rStyle w:val="24"/>
              <w:rFonts w:ascii="Times New Roman" w:hAnsi="Times New Roman" w:eastAsia="楷体_GB2312"/>
              <w:snapToGrid w:val="0"/>
              <w:color w:val="auto"/>
            </w:rPr>
            <w:t>第一节 营商环境改善工程</w:t>
          </w:r>
          <w:r>
            <w:rPr>
              <w:color w:val="auto"/>
            </w:rPr>
            <w:tab/>
          </w:r>
          <w:r>
            <w:rPr>
              <w:color w:val="auto"/>
            </w:rPr>
            <w:fldChar w:fldCharType="begin"/>
          </w:r>
          <w:r>
            <w:rPr>
              <w:color w:val="auto"/>
            </w:rPr>
            <w:instrText xml:space="preserve"> PAGEREF _Toc77261183 \h </w:instrText>
          </w:r>
          <w:r>
            <w:rPr>
              <w:color w:val="auto"/>
            </w:rPr>
            <w:fldChar w:fldCharType="separate"/>
          </w:r>
          <w:r>
            <w:rPr>
              <w:color w:val="auto"/>
            </w:rPr>
            <w:t>19</w:t>
          </w:r>
          <w:r>
            <w:rPr>
              <w:color w:val="auto"/>
            </w:rPr>
            <w:fldChar w:fldCharType="end"/>
          </w:r>
          <w:r>
            <w:rPr>
              <w:color w:val="auto"/>
            </w:rPr>
            <w:fldChar w:fldCharType="end"/>
          </w:r>
        </w:p>
        <w:p>
          <w:pPr>
            <w:pStyle w:val="9"/>
            <w:tabs>
              <w:tab w:val="right" w:leader="dot" w:pos="9016"/>
            </w:tabs>
            <w:rPr>
              <w:rFonts w:cstheme="minorBidi"/>
              <w:color w:val="auto"/>
              <w:kern w:val="2"/>
              <w:sz w:val="21"/>
            </w:rPr>
          </w:pPr>
          <w:r>
            <w:rPr>
              <w:color w:val="auto"/>
            </w:rPr>
            <w:fldChar w:fldCharType="begin"/>
          </w:r>
          <w:r>
            <w:rPr>
              <w:color w:val="auto"/>
            </w:rPr>
            <w:instrText xml:space="preserve"> HYPERLINK \l "_Toc77261184" </w:instrText>
          </w:r>
          <w:r>
            <w:rPr>
              <w:color w:val="auto"/>
            </w:rPr>
            <w:fldChar w:fldCharType="separate"/>
          </w:r>
          <w:r>
            <w:rPr>
              <w:rStyle w:val="24"/>
              <w:rFonts w:hint="eastAsia" w:ascii="仿宋_GB2312" w:hAnsi="黑体" w:eastAsia="仿宋_GB2312" w:cs="黑体"/>
              <w:b/>
              <w:bCs/>
              <w:snapToGrid w:val="0"/>
              <w:color w:val="auto"/>
              <w:lang w:eastAsia="zh-CN" w:bidi="ar"/>
            </w:rPr>
            <w:t>一、</w:t>
          </w:r>
          <w:r>
            <w:rPr>
              <w:rStyle w:val="24"/>
              <w:rFonts w:ascii="仿宋_GB2312" w:hAnsi="黑体" w:eastAsia="仿宋_GB2312" w:cs="黑体"/>
              <w:b/>
              <w:bCs/>
              <w:snapToGrid w:val="0"/>
              <w:color w:val="auto"/>
              <w:lang w:bidi="ar"/>
            </w:rPr>
            <w:t>深化商事制度改革</w:t>
          </w:r>
          <w:r>
            <w:rPr>
              <w:color w:val="auto"/>
            </w:rPr>
            <w:tab/>
          </w:r>
          <w:r>
            <w:rPr>
              <w:color w:val="auto"/>
            </w:rPr>
            <w:fldChar w:fldCharType="begin"/>
          </w:r>
          <w:r>
            <w:rPr>
              <w:color w:val="auto"/>
            </w:rPr>
            <w:instrText xml:space="preserve"> PAGEREF _Toc77261184 \h </w:instrText>
          </w:r>
          <w:r>
            <w:rPr>
              <w:color w:val="auto"/>
            </w:rPr>
            <w:fldChar w:fldCharType="separate"/>
          </w:r>
          <w:r>
            <w:rPr>
              <w:color w:val="auto"/>
            </w:rPr>
            <w:t>19</w:t>
          </w:r>
          <w:r>
            <w:rPr>
              <w:color w:val="auto"/>
            </w:rPr>
            <w:fldChar w:fldCharType="end"/>
          </w:r>
          <w:r>
            <w:rPr>
              <w:color w:val="auto"/>
            </w:rPr>
            <w:fldChar w:fldCharType="end"/>
          </w:r>
        </w:p>
        <w:p>
          <w:pPr>
            <w:pStyle w:val="9"/>
            <w:tabs>
              <w:tab w:val="right" w:leader="dot" w:pos="9016"/>
            </w:tabs>
            <w:rPr>
              <w:rFonts w:cstheme="minorBidi"/>
              <w:color w:val="auto"/>
              <w:kern w:val="2"/>
              <w:sz w:val="21"/>
            </w:rPr>
          </w:pPr>
          <w:r>
            <w:rPr>
              <w:color w:val="auto"/>
            </w:rPr>
            <w:fldChar w:fldCharType="begin"/>
          </w:r>
          <w:r>
            <w:rPr>
              <w:color w:val="auto"/>
            </w:rPr>
            <w:instrText xml:space="preserve"> HYPERLINK \l "_Toc77261185" </w:instrText>
          </w:r>
          <w:r>
            <w:rPr>
              <w:color w:val="auto"/>
            </w:rPr>
            <w:fldChar w:fldCharType="separate"/>
          </w:r>
          <w:r>
            <w:rPr>
              <w:rStyle w:val="24"/>
              <w:rFonts w:hint="eastAsia" w:ascii="仿宋_GB2312" w:hAnsi="黑体" w:eastAsia="仿宋_GB2312" w:cs="黑体"/>
              <w:b/>
              <w:bCs/>
              <w:snapToGrid w:val="0"/>
              <w:color w:val="auto"/>
              <w:lang w:eastAsia="zh-CN" w:bidi="ar"/>
            </w:rPr>
            <w:t>二、</w:t>
          </w:r>
          <w:r>
            <w:rPr>
              <w:rStyle w:val="24"/>
              <w:rFonts w:ascii="仿宋_GB2312" w:hAnsi="黑体" w:eastAsia="仿宋_GB2312" w:cs="黑体"/>
              <w:b/>
              <w:bCs/>
              <w:snapToGrid w:val="0"/>
              <w:color w:val="auto"/>
              <w:lang w:bidi="ar"/>
            </w:rPr>
            <w:t>深化市场准入高效服务改革</w:t>
          </w:r>
          <w:r>
            <w:rPr>
              <w:color w:val="auto"/>
            </w:rPr>
            <w:tab/>
          </w:r>
          <w:r>
            <w:rPr>
              <w:color w:val="auto"/>
            </w:rPr>
            <w:fldChar w:fldCharType="begin"/>
          </w:r>
          <w:r>
            <w:rPr>
              <w:color w:val="auto"/>
            </w:rPr>
            <w:instrText xml:space="preserve"> PAGEREF _Toc77261185 \h </w:instrText>
          </w:r>
          <w:r>
            <w:rPr>
              <w:color w:val="auto"/>
            </w:rPr>
            <w:fldChar w:fldCharType="separate"/>
          </w:r>
          <w:r>
            <w:rPr>
              <w:color w:val="auto"/>
            </w:rPr>
            <w:t>19</w:t>
          </w:r>
          <w:r>
            <w:rPr>
              <w:color w:val="auto"/>
            </w:rPr>
            <w:fldChar w:fldCharType="end"/>
          </w:r>
          <w:r>
            <w:rPr>
              <w:color w:val="auto"/>
            </w:rPr>
            <w:fldChar w:fldCharType="end"/>
          </w:r>
        </w:p>
        <w:p>
          <w:pPr>
            <w:pStyle w:val="9"/>
            <w:tabs>
              <w:tab w:val="right" w:leader="dot" w:pos="9016"/>
            </w:tabs>
            <w:rPr>
              <w:rFonts w:hint="eastAsia" w:eastAsiaTheme="minorEastAsia" w:cstheme="minorBidi"/>
              <w:color w:val="auto"/>
              <w:kern w:val="2"/>
              <w:sz w:val="21"/>
              <w:lang w:val="en-US" w:eastAsia="zh-CN"/>
            </w:rPr>
          </w:pPr>
          <w:r>
            <w:rPr>
              <w:color w:val="auto"/>
            </w:rPr>
            <w:fldChar w:fldCharType="begin"/>
          </w:r>
          <w:r>
            <w:rPr>
              <w:color w:val="auto"/>
            </w:rPr>
            <w:instrText xml:space="preserve"> HYPERLINK \l "_Toc77261187" </w:instrText>
          </w:r>
          <w:r>
            <w:rPr>
              <w:color w:val="auto"/>
            </w:rPr>
            <w:fldChar w:fldCharType="separate"/>
          </w:r>
          <w:r>
            <w:rPr>
              <w:rStyle w:val="24"/>
              <w:rFonts w:hint="eastAsia" w:ascii="仿宋_GB2312" w:hAnsi="黑体" w:eastAsia="仿宋_GB2312" w:cs="黑体"/>
              <w:b/>
              <w:bCs/>
              <w:snapToGrid w:val="0"/>
              <w:color w:val="auto"/>
              <w:lang w:eastAsia="zh-CN" w:bidi="ar"/>
            </w:rPr>
            <w:t>三、</w:t>
          </w:r>
          <w:r>
            <w:rPr>
              <w:rStyle w:val="24"/>
              <w:rFonts w:ascii="仿宋_GB2312" w:hAnsi="黑体" w:eastAsia="仿宋_GB2312" w:cs="黑体"/>
              <w:b/>
              <w:bCs/>
              <w:snapToGrid w:val="0"/>
              <w:color w:val="auto"/>
              <w:lang w:bidi="ar"/>
            </w:rPr>
            <w:t>实施企业退出高效有序改革</w:t>
          </w:r>
          <w:r>
            <w:rPr>
              <w:color w:val="auto"/>
            </w:rPr>
            <w:tab/>
          </w:r>
          <w:r>
            <w:rPr>
              <w:rFonts w:hint="eastAsia"/>
              <w:color w:val="auto"/>
              <w:lang w:val="en-US" w:eastAsia="zh-CN"/>
            </w:rPr>
            <w:t>2</w:t>
          </w:r>
          <w:r>
            <w:rPr>
              <w:color w:val="auto"/>
            </w:rPr>
            <w:fldChar w:fldCharType="end"/>
          </w:r>
          <w:r>
            <w:rPr>
              <w:rFonts w:hint="eastAsia"/>
              <w:color w:val="auto"/>
              <w:lang w:val="en-US" w:eastAsia="zh-CN"/>
            </w:rPr>
            <w:t>0</w:t>
          </w:r>
        </w:p>
        <w:p>
          <w:pPr>
            <w:pStyle w:val="9"/>
            <w:tabs>
              <w:tab w:val="right" w:leader="dot" w:pos="9016"/>
            </w:tabs>
            <w:rPr>
              <w:rFonts w:hint="eastAsia" w:eastAsiaTheme="minorEastAsia" w:cstheme="minorBidi"/>
              <w:color w:val="auto"/>
              <w:kern w:val="2"/>
              <w:sz w:val="21"/>
              <w:lang w:val="en-US" w:eastAsia="zh-CN"/>
            </w:rPr>
          </w:pPr>
          <w:r>
            <w:rPr>
              <w:color w:val="auto"/>
            </w:rPr>
            <w:fldChar w:fldCharType="begin"/>
          </w:r>
          <w:r>
            <w:rPr>
              <w:color w:val="auto"/>
            </w:rPr>
            <w:instrText xml:space="preserve"> HYPERLINK \l "_Toc77261188" </w:instrText>
          </w:r>
          <w:r>
            <w:rPr>
              <w:color w:val="auto"/>
            </w:rPr>
            <w:fldChar w:fldCharType="separate"/>
          </w:r>
          <w:r>
            <w:rPr>
              <w:rStyle w:val="24"/>
              <w:rFonts w:hint="eastAsia" w:ascii="仿宋_GB2312" w:hAnsi="黑体" w:eastAsia="仿宋_GB2312" w:cs="黑体"/>
              <w:b/>
              <w:bCs/>
              <w:snapToGrid w:val="0"/>
              <w:color w:val="auto"/>
              <w:lang w:eastAsia="zh-CN" w:bidi="ar"/>
            </w:rPr>
            <w:t>四、</w:t>
          </w:r>
          <w:r>
            <w:rPr>
              <w:rStyle w:val="24"/>
              <w:rFonts w:ascii="仿宋_GB2312" w:hAnsi="黑体" w:eastAsia="仿宋_GB2312" w:cs="黑体"/>
              <w:b/>
              <w:bCs/>
              <w:snapToGrid w:val="0"/>
              <w:color w:val="auto"/>
              <w:lang w:bidi="ar"/>
            </w:rPr>
            <w:t>实施市场主体高质量发展改革</w:t>
          </w:r>
          <w:r>
            <w:rPr>
              <w:color w:val="auto"/>
            </w:rPr>
            <w:tab/>
          </w:r>
          <w:r>
            <w:rPr>
              <w:rFonts w:hint="eastAsia"/>
              <w:color w:val="auto"/>
              <w:lang w:val="en-US" w:eastAsia="zh-CN"/>
            </w:rPr>
            <w:t>2</w:t>
          </w:r>
          <w:r>
            <w:rPr>
              <w:color w:val="auto"/>
            </w:rPr>
            <w:fldChar w:fldCharType="end"/>
          </w:r>
          <w:r>
            <w:rPr>
              <w:rFonts w:hint="eastAsia"/>
              <w:color w:val="auto"/>
              <w:lang w:val="en-US" w:eastAsia="zh-CN"/>
            </w:rPr>
            <w:t>0</w:t>
          </w:r>
        </w:p>
        <w:p>
          <w:pPr>
            <w:pStyle w:val="9"/>
            <w:tabs>
              <w:tab w:val="right" w:leader="dot" w:pos="9016"/>
            </w:tabs>
            <w:rPr>
              <w:rFonts w:hint="eastAsia" w:eastAsiaTheme="minorEastAsia" w:cstheme="minorBidi"/>
              <w:color w:val="auto"/>
              <w:kern w:val="2"/>
              <w:sz w:val="21"/>
              <w:lang w:val="en-US" w:eastAsia="zh-CN"/>
            </w:rPr>
          </w:pPr>
          <w:r>
            <w:rPr>
              <w:color w:val="auto"/>
            </w:rPr>
            <w:fldChar w:fldCharType="begin"/>
          </w:r>
          <w:r>
            <w:rPr>
              <w:color w:val="auto"/>
            </w:rPr>
            <w:instrText xml:space="preserve"> HYPERLINK \l "_Toc77261189" </w:instrText>
          </w:r>
          <w:r>
            <w:rPr>
              <w:color w:val="auto"/>
            </w:rPr>
            <w:fldChar w:fldCharType="separate"/>
          </w:r>
          <w:r>
            <w:rPr>
              <w:rStyle w:val="24"/>
              <w:rFonts w:hint="eastAsia" w:ascii="仿宋_GB2312" w:hAnsi="黑体" w:eastAsia="仿宋_GB2312" w:cs="黑体"/>
              <w:b/>
              <w:bCs/>
              <w:snapToGrid w:val="0"/>
              <w:color w:val="auto"/>
              <w:lang w:eastAsia="zh-CN" w:bidi="ar"/>
            </w:rPr>
            <w:t>五、</w:t>
          </w:r>
          <w:r>
            <w:rPr>
              <w:rStyle w:val="24"/>
              <w:rFonts w:ascii="仿宋_GB2312" w:hAnsi="黑体" w:eastAsia="仿宋_GB2312" w:cs="黑体"/>
              <w:b/>
              <w:bCs/>
              <w:snapToGrid w:val="0"/>
              <w:color w:val="auto"/>
              <w:lang w:bidi="ar"/>
            </w:rPr>
            <w:t>强化竞争秩序维护</w:t>
          </w:r>
          <w:r>
            <w:rPr>
              <w:color w:val="auto"/>
            </w:rPr>
            <w:tab/>
          </w:r>
          <w:r>
            <w:rPr>
              <w:rFonts w:hint="eastAsia"/>
              <w:color w:val="auto"/>
              <w:lang w:val="en-US" w:eastAsia="zh-CN"/>
            </w:rPr>
            <w:t>2</w:t>
          </w:r>
          <w:r>
            <w:rPr>
              <w:color w:val="auto"/>
            </w:rPr>
            <w:fldChar w:fldCharType="end"/>
          </w:r>
          <w:r>
            <w:rPr>
              <w:rFonts w:hint="eastAsia"/>
              <w:color w:val="auto"/>
              <w:lang w:val="en-US" w:eastAsia="zh-CN"/>
            </w:rPr>
            <w:t>1</w:t>
          </w:r>
        </w:p>
        <w:p>
          <w:pPr>
            <w:pStyle w:val="9"/>
            <w:tabs>
              <w:tab w:val="right" w:leader="dot" w:pos="9016"/>
            </w:tabs>
            <w:rPr>
              <w:rFonts w:hint="eastAsia" w:eastAsiaTheme="minorEastAsia" w:cstheme="minorBidi"/>
              <w:color w:val="auto"/>
              <w:kern w:val="2"/>
              <w:sz w:val="21"/>
              <w:lang w:val="en-US" w:eastAsia="zh-CN"/>
            </w:rPr>
          </w:pPr>
          <w:r>
            <w:rPr>
              <w:color w:val="auto"/>
            </w:rPr>
            <w:fldChar w:fldCharType="begin"/>
          </w:r>
          <w:r>
            <w:rPr>
              <w:color w:val="auto"/>
            </w:rPr>
            <w:instrText xml:space="preserve"> HYPERLINK \l "_Toc77261190" </w:instrText>
          </w:r>
          <w:r>
            <w:rPr>
              <w:color w:val="auto"/>
            </w:rPr>
            <w:fldChar w:fldCharType="separate"/>
          </w:r>
          <w:r>
            <w:rPr>
              <w:rStyle w:val="24"/>
              <w:rFonts w:hint="eastAsia" w:ascii="仿宋_GB2312" w:hAnsi="黑体" w:eastAsia="仿宋_GB2312" w:cs="黑体"/>
              <w:b/>
              <w:bCs/>
              <w:snapToGrid w:val="0"/>
              <w:color w:val="auto"/>
              <w:lang w:eastAsia="zh-CN" w:bidi="ar"/>
            </w:rPr>
            <w:t>六、</w:t>
          </w:r>
          <w:r>
            <w:rPr>
              <w:rStyle w:val="24"/>
              <w:rFonts w:ascii="仿宋_GB2312" w:hAnsi="黑体" w:eastAsia="仿宋_GB2312" w:cs="黑体"/>
              <w:b/>
              <w:bCs/>
              <w:snapToGrid w:val="0"/>
              <w:color w:val="auto"/>
              <w:lang w:bidi="ar"/>
            </w:rPr>
            <w:t>服务民营经济健康发展</w:t>
          </w:r>
          <w:r>
            <w:rPr>
              <w:color w:val="auto"/>
            </w:rPr>
            <w:tab/>
          </w:r>
          <w:r>
            <w:rPr>
              <w:rFonts w:hint="eastAsia"/>
              <w:color w:val="auto"/>
              <w:lang w:val="en-US" w:eastAsia="zh-CN"/>
            </w:rPr>
            <w:t>2</w:t>
          </w:r>
          <w:r>
            <w:rPr>
              <w:color w:val="auto"/>
            </w:rPr>
            <w:fldChar w:fldCharType="end"/>
          </w:r>
          <w:r>
            <w:rPr>
              <w:rFonts w:hint="eastAsia"/>
              <w:color w:val="auto"/>
              <w:lang w:val="en-US" w:eastAsia="zh-CN"/>
            </w:rPr>
            <w:t>2</w:t>
          </w:r>
        </w:p>
        <w:p>
          <w:pPr>
            <w:pStyle w:val="17"/>
            <w:tabs>
              <w:tab w:val="right" w:leader="dot" w:pos="9016"/>
            </w:tabs>
            <w:rPr>
              <w:rFonts w:hint="eastAsia" w:eastAsiaTheme="minorEastAsia" w:cstheme="minorBidi"/>
              <w:color w:val="auto"/>
              <w:kern w:val="2"/>
              <w:sz w:val="21"/>
              <w:lang w:val="en-US" w:eastAsia="zh-CN"/>
            </w:rPr>
          </w:pPr>
          <w:r>
            <w:rPr>
              <w:color w:val="auto"/>
            </w:rPr>
            <w:fldChar w:fldCharType="begin"/>
          </w:r>
          <w:r>
            <w:rPr>
              <w:color w:val="auto"/>
            </w:rPr>
            <w:instrText xml:space="preserve"> HYPERLINK \l "_Toc77261191" </w:instrText>
          </w:r>
          <w:r>
            <w:rPr>
              <w:color w:val="auto"/>
            </w:rPr>
            <w:fldChar w:fldCharType="separate"/>
          </w:r>
          <w:r>
            <w:rPr>
              <w:rStyle w:val="24"/>
              <w:rFonts w:ascii="Times New Roman" w:hAnsi="Times New Roman" w:eastAsia="楷体_GB2312"/>
              <w:snapToGrid w:val="0"/>
              <w:color w:val="auto"/>
            </w:rPr>
            <w:t>第二节 高质量发展提升工程</w:t>
          </w:r>
          <w:r>
            <w:rPr>
              <w:color w:val="auto"/>
            </w:rPr>
            <w:tab/>
          </w:r>
          <w:r>
            <w:rPr>
              <w:rFonts w:hint="eastAsia"/>
              <w:color w:val="auto"/>
              <w:lang w:val="en-US" w:eastAsia="zh-CN"/>
            </w:rPr>
            <w:t>2</w:t>
          </w:r>
          <w:r>
            <w:rPr>
              <w:color w:val="auto"/>
            </w:rPr>
            <w:fldChar w:fldCharType="end"/>
          </w:r>
          <w:r>
            <w:rPr>
              <w:rFonts w:hint="eastAsia"/>
              <w:color w:val="auto"/>
              <w:lang w:val="en-US" w:eastAsia="zh-CN"/>
            </w:rPr>
            <w:t>3</w:t>
          </w:r>
        </w:p>
        <w:p>
          <w:pPr>
            <w:pStyle w:val="9"/>
            <w:tabs>
              <w:tab w:val="right" w:leader="dot" w:pos="9016"/>
            </w:tabs>
            <w:rPr>
              <w:rFonts w:cstheme="minorBidi"/>
              <w:color w:val="auto"/>
              <w:kern w:val="2"/>
              <w:sz w:val="21"/>
            </w:rPr>
          </w:pPr>
          <w:r>
            <w:rPr>
              <w:color w:val="auto"/>
            </w:rPr>
            <w:fldChar w:fldCharType="begin"/>
          </w:r>
          <w:r>
            <w:rPr>
              <w:color w:val="auto"/>
            </w:rPr>
            <w:instrText xml:space="preserve"> HYPERLINK \l "_Toc77261192" </w:instrText>
          </w:r>
          <w:r>
            <w:rPr>
              <w:color w:val="auto"/>
            </w:rPr>
            <w:fldChar w:fldCharType="separate"/>
          </w:r>
          <w:r>
            <w:rPr>
              <w:rStyle w:val="24"/>
              <w:rFonts w:hint="eastAsia" w:ascii="仿宋_GB2312" w:hAnsi="黑体" w:eastAsia="仿宋_GB2312" w:cs="黑体"/>
              <w:b/>
              <w:bCs/>
              <w:snapToGrid w:val="0"/>
              <w:color w:val="auto"/>
              <w:lang w:eastAsia="zh-CN" w:bidi="ar"/>
            </w:rPr>
            <w:t>一、</w:t>
          </w:r>
          <w:r>
            <w:rPr>
              <w:rStyle w:val="24"/>
              <w:rFonts w:ascii="仿宋_GB2312" w:hAnsi="黑体" w:eastAsia="仿宋_GB2312" w:cs="黑体"/>
              <w:b/>
              <w:bCs/>
              <w:snapToGrid w:val="0"/>
              <w:color w:val="auto"/>
              <w:lang w:bidi="ar"/>
            </w:rPr>
            <w:t>深入实施质量强市战略</w:t>
          </w:r>
          <w:r>
            <w:rPr>
              <w:color w:val="auto"/>
            </w:rPr>
            <w:tab/>
          </w:r>
          <w:r>
            <w:rPr>
              <w:color w:val="auto"/>
            </w:rPr>
            <w:fldChar w:fldCharType="begin"/>
          </w:r>
          <w:r>
            <w:rPr>
              <w:color w:val="auto"/>
            </w:rPr>
            <w:instrText xml:space="preserve"> PAGEREF _Toc77261192 \h </w:instrText>
          </w:r>
          <w:r>
            <w:rPr>
              <w:color w:val="auto"/>
            </w:rPr>
            <w:fldChar w:fldCharType="separate"/>
          </w:r>
          <w:r>
            <w:rPr>
              <w:color w:val="auto"/>
            </w:rPr>
            <w:t>23</w:t>
          </w:r>
          <w:r>
            <w:rPr>
              <w:color w:val="auto"/>
            </w:rPr>
            <w:fldChar w:fldCharType="end"/>
          </w:r>
          <w:r>
            <w:rPr>
              <w:color w:val="auto"/>
            </w:rPr>
            <w:fldChar w:fldCharType="end"/>
          </w:r>
        </w:p>
        <w:p>
          <w:pPr>
            <w:pStyle w:val="9"/>
            <w:tabs>
              <w:tab w:val="right" w:leader="dot" w:pos="9016"/>
            </w:tabs>
            <w:rPr>
              <w:rFonts w:cstheme="minorBidi"/>
              <w:color w:val="auto"/>
              <w:kern w:val="2"/>
              <w:sz w:val="21"/>
            </w:rPr>
          </w:pPr>
          <w:r>
            <w:rPr>
              <w:color w:val="auto"/>
            </w:rPr>
            <w:fldChar w:fldCharType="begin"/>
          </w:r>
          <w:r>
            <w:rPr>
              <w:color w:val="auto"/>
            </w:rPr>
            <w:instrText xml:space="preserve"> HYPERLINK \l "_Toc77261193" </w:instrText>
          </w:r>
          <w:r>
            <w:rPr>
              <w:color w:val="auto"/>
            </w:rPr>
            <w:fldChar w:fldCharType="separate"/>
          </w:r>
          <w:r>
            <w:rPr>
              <w:rStyle w:val="24"/>
              <w:rFonts w:hint="eastAsia" w:ascii="仿宋_GB2312" w:hAnsi="黑体" w:eastAsia="仿宋_GB2312" w:cs="黑体"/>
              <w:b/>
              <w:bCs/>
              <w:snapToGrid w:val="0"/>
              <w:color w:val="auto"/>
              <w:lang w:eastAsia="zh-CN" w:bidi="ar"/>
            </w:rPr>
            <w:t>二、</w:t>
          </w:r>
          <w:r>
            <w:rPr>
              <w:rStyle w:val="24"/>
              <w:rFonts w:ascii="仿宋_GB2312" w:hAnsi="黑体" w:eastAsia="仿宋_GB2312" w:cs="黑体"/>
              <w:b/>
              <w:bCs/>
              <w:snapToGrid w:val="0"/>
              <w:color w:val="auto"/>
              <w:lang w:bidi="ar"/>
            </w:rPr>
            <w:t>开展质量提升</w:t>
          </w:r>
          <w:r>
            <w:rPr>
              <w:rStyle w:val="24"/>
              <w:rFonts w:hint="eastAsia" w:ascii="仿宋_GB2312" w:hAnsi="黑体" w:eastAsia="仿宋_GB2312" w:cs="黑体"/>
              <w:b/>
              <w:bCs/>
              <w:snapToGrid w:val="0"/>
              <w:color w:val="auto"/>
              <w:lang w:eastAsia="zh-CN" w:bidi="ar"/>
            </w:rPr>
            <w:t>行动</w:t>
          </w:r>
          <w:r>
            <w:rPr>
              <w:color w:val="auto"/>
            </w:rPr>
            <w:tab/>
          </w:r>
          <w:r>
            <w:rPr>
              <w:color w:val="auto"/>
            </w:rPr>
            <w:fldChar w:fldCharType="begin"/>
          </w:r>
          <w:r>
            <w:rPr>
              <w:color w:val="auto"/>
            </w:rPr>
            <w:instrText xml:space="preserve"> PAGEREF _Toc77261193 \h </w:instrText>
          </w:r>
          <w:r>
            <w:rPr>
              <w:color w:val="auto"/>
            </w:rPr>
            <w:fldChar w:fldCharType="separate"/>
          </w:r>
          <w:r>
            <w:rPr>
              <w:color w:val="auto"/>
            </w:rPr>
            <w:t>24</w:t>
          </w:r>
          <w:r>
            <w:rPr>
              <w:color w:val="auto"/>
            </w:rPr>
            <w:fldChar w:fldCharType="end"/>
          </w:r>
          <w:r>
            <w:rPr>
              <w:color w:val="auto"/>
            </w:rPr>
            <w:fldChar w:fldCharType="end"/>
          </w:r>
        </w:p>
        <w:p>
          <w:pPr>
            <w:pStyle w:val="9"/>
            <w:tabs>
              <w:tab w:val="right" w:leader="dot" w:pos="9016"/>
            </w:tabs>
            <w:rPr>
              <w:rFonts w:cstheme="minorBidi"/>
              <w:color w:val="auto"/>
              <w:kern w:val="2"/>
              <w:sz w:val="21"/>
            </w:rPr>
          </w:pPr>
          <w:r>
            <w:rPr>
              <w:color w:val="auto"/>
            </w:rPr>
            <w:fldChar w:fldCharType="begin"/>
          </w:r>
          <w:r>
            <w:rPr>
              <w:color w:val="auto"/>
            </w:rPr>
            <w:instrText xml:space="preserve"> HYPERLINK \l "_Toc77261194" </w:instrText>
          </w:r>
          <w:r>
            <w:rPr>
              <w:color w:val="auto"/>
            </w:rPr>
            <w:fldChar w:fldCharType="separate"/>
          </w:r>
          <w:r>
            <w:rPr>
              <w:rStyle w:val="24"/>
              <w:rFonts w:hint="eastAsia" w:ascii="仿宋_GB2312" w:hAnsi="黑体" w:eastAsia="仿宋_GB2312" w:cs="黑体"/>
              <w:b/>
              <w:bCs/>
              <w:snapToGrid w:val="0"/>
              <w:color w:val="auto"/>
              <w:lang w:eastAsia="zh-CN" w:bidi="ar"/>
            </w:rPr>
            <w:t>三、</w:t>
          </w:r>
          <w:r>
            <w:rPr>
              <w:rStyle w:val="24"/>
              <w:rFonts w:ascii="仿宋_GB2312" w:hAnsi="黑体" w:eastAsia="仿宋_GB2312" w:cs="黑体"/>
              <w:b/>
              <w:bCs/>
              <w:snapToGrid w:val="0"/>
              <w:color w:val="auto"/>
              <w:lang w:bidi="ar"/>
            </w:rPr>
            <w:t>发挥标准引领作用</w:t>
          </w:r>
          <w:r>
            <w:rPr>
              <w:color w:val="auto"/>
            </w:rPr>
            <w:tab/>
          </w:r>
          <w:r>
            <w:rPr>
              <w:color w:val="auto"/>
            </w:rPr>
            <w:fldChar w:fldCharType="begin"/>
          </w:r>
          <w:r>
            <w:rPr>
              <w:color w:val="auto"/>
            </w:rPr>
            <w:instrText xml:space="preserve"> PAGEREF _Toc77261194 \h </w:instrText>
          </w:r>
          <w:r>
            <w:rPr>
              <w:color w:val="auto"/>
            </w:rPr>
            <w:fldChar w:fldCharType="separate"/>
          </w:r>
          <w:r>
            <w:rPr>
              <w:color w:val="auto"/>
            </w:rPr>
            <w:t>25</w:t>
          </w:r>
          <w:r>
            <w:rPr>
              <w:color w:val="auto"/>
            </w:rPr>
            <w:fldChar w:fldCharType="end"/>
          </w:r>
          <w:r>
            <w:rPr>
              <w:color w:val="auto"/>
            </w:rPr>
            <w:fldChar w:fldCharType="end"/>
          </w:r>
        </w:p>
        <w:p>
          <w:pPr>
            <w:pStyle w:val="9"/>
            <w:tabs>
              <w:tab w:val="right" w:leader="dot" w:pos="9016"/>
            </w:tabs>
            <w:rPr>
              <w:rFonts w:cstheme="minorBidi"/>
              <w:color w:val="auto"/>
              <w:kern w:val="2"/>
              <w:sz w:val="21"/>
            </w:rPr>
          </w:pPr>
          <w:r>
            <w:rPr>
              <w:color w:val="auto"/>
            </w:rPr>
            <w:fldChar w:fldCharType="begin"/>
          </w:r>
          <w:r>
            <w:rPr>
              <w:color w:val="auto"/>
            </w:rPr>
            <w:instrText xml:space="preserve"> HYPERLINK \l "_Toc77261195" </w:instrText>
          </w:r>
          <w:r>
            <w:rPr>
              <w:color w:val="auto"/>
            </w:rPr>
            <w:fldChar w:fldCharType="separate"/>
          </w:r>
          <w:r>
            <w:rPr>
              <w:rStyle w:val="24"/>
              <w:rFonts w:hint="eastAsia" w:ascii="仿宋_GB2312" w:hAnsi="黑体" w:eastAsia="仿宋_GB2312" w:cs="黑体"/>
              <w:b/>
              <w:bCs/>
              <w:snapToGrid w:val="0"/>
              <w:color w:val="auto"/>
              <w:lang w:eastAsia="zh-CN" w:bidi="ar"/>
            </w:rPr>
            <w:t>四、</w:t>
          </w:r>
          <w:r>
            <w:rPr>
              <w:rStyle w:val="24"/>
              <w:rFonts w:ascii="仿宋_GB2312" w:hAnsi="黑体" w:eastAsia="仿宋_GB2312" w:cs="黑体"/>
              <w:b/>
              <w:bCs/>
              <w:snapToGrid w:val="0"/>
              <w:color w:val="auto"/>
              <w:lang w:bidi="ar"/>
            </w:rPr>
            <w:t>知识产权引领强市</w:t>
          </w:r>
          <w:r>
            <w:rPr>
              <w:color w:val="auto"/>
            </w:rPr>
            <w:tab/>
          </w:r>
          <w:r>
            <w:rPr>
              <w:color w:val="auto"/>
            </w:rPr>
            <w:fldChar w:fldCharType="begin"/>
          </w:r>
          <w:r>
            <w:rPr>
              <w:color w:val="auto"/>
            </w:rPr>
            <w:instrText xml:space="preserve"> PAGEREF _Toc77261195 \h </w:instrText>
          </w:r>
          <w:r>
            <w:rPr>
              <w:color w:val="auto"/>
            </w:rPr>
            <w:fldChar w:fldCharType="separate"/>
          </w:r>
          <w:r>
            <w:rPr>
              <w:color w:val="auto"/>
            </w:rPr>
            <w:t>26</w:t>
          </w:r>
          <w:r>
            <w:rPr>
              <w:color w:val="auto"/>
            </w:rPr>
            <w:fldChar w:fldCharType="end"/>
          </w:r>
          <w:r>
            <w:rPr>
              <w:color w:val="auto"/>
            </w:rPr>
            <w:fldChar w:fldCharType="end"/>
          </w:r>
        </w:p>
        <w:p>
          <w:pPr>
            <w:pStyle w:val="17"/>
            <w:tabs>
              <w:tab w:val="right" w:leader="dot" w:pos="9016"/>
            </w:tabs>
            <w:rPr>
              <w:rFonts w:cstheme="minorBidi"/>
              <w:color w:val="auto"/>
              <w:kern w:val="2"/>
              <w:sz w:val="21"/>
            </w:rPr>
          </w:pPr>
          <w:r>
            <w:rPr>
              <w:color w:val="auto"/>
            </w:rPr>
            <w:fldChar w:fldCharType="begin"/>
          </w:r>
          <w:r>
            <w:rPr>
              <w:color w:val="auto"/>
            </w:rPr>
            <w:instrText xml:space="preserve"> HYPERLINK \l "_Toc77261196" </w:instrText>
          </w:r>
          <w:r>
            <w:rPr>
              <w:color w:val="auto"/>
            </w:rPr>
            <w:fldChar w:fldCharType="separate"/>
          </w:r>
          <w:r>
            <w:rPr>
              <w:rStyle w:val="24"/>
              <w:rFonts w:ascii="Times New Roman" w:hAnsi="Times New Roman" w:eastAsia="楷体_GB2312"/>
              <w:snapToGrid w:val="0"/>
              <w:color w:val="auto"/>
            </w:rPr>
            <w:t>第三节 市场安全攻坚工程</w:t>
          </w:r>
          <w:r>
            <w:rPr>
              <w:color w:val="auto"/>
            </w:rPr>
            <w:tab/>
          </w:r>
          <w:r>
            <w:rPr>
              <w:color w:val="auto"/>
            </w:rPr>
            <w:fldChar w:fldCharType="begin"/>
          </w:r>
          <w:r>
            <w:rPr>
              <w:color w:val="auto"/>
            </w:rPr>
            <w:instrText xml:space="preserve"> PAGEREF _Toc77261196 \h </w:instrText>
          </w:r>
          <w:r>
            <w:rPr>
              <w:color w:val="auto"/>
            </w:rPr>
            <w:fldChar w:fldCharType="separate"/>
          </w:r>
          <w:r>
            <w:rPr>
              <w:color w:val="auto"/>
            </w:rPr>
            <w:t>29</w:t>
          </w:r>
          <w:r>
            <w:rPr>
              <w:color w:val="auto"/>
            </w:rPr>
            <w:fldChar w:fldCharType="end"/>
          </w:r>
          <w:r>
            <w:rPr>
              <w:color w:val="auto"/>
            </w:rPr>
            <w:fldChar w:fldCharType="end"/>
          </w:r>
        </w:p>
        <w:p>
          <w:pPr>
            <w:pStyle w:val="9"/>
            <w:tabs>
              <w:tab w:val="right" w:leader="dot" w:pos="9016"/>
            </w:tabs>
            <w:rPr>
              <w:rFonts w:hint="eastAsia" w:eastAsiaTheme="minorEastAsia" w:cstheme="minorBidi"/>
              <w:color w:val="auto"/>
              <w:kern w:val="2"/>
              <w:sz w:val="21"/>
              <w:lang w:val="en-US" w:eastAsia="zh-CN"/>
            </w:rPr>
          </w:pPr>
          <w:r>
            <w:rPr>
              <w:color w:val="auto"/>
            </w:rPr>
            <w:fldChar w:fldCharType="begin"/>
          </w:r>
          <w:r>
            <w:rPr>
              <w:color w:val="auto"/>
            </w:rPr>
            <w:instrText xml:space="preserve"> HYPERLINK \l "_Toc77261197" </w:instrText>
          </w:r>
          <w:r>
            <w:rPr>
              <w:color w:val="auto"/>
            </w:rPr>
            <w:fldChar w:fldCharType="separate"/>
          </w:r>
          <w:r>
            <w:rPr>
              <w:rStyle w:val="24"/>
              <w:rFonts w:hint="eastAsia" w:ascii="仿宋_GB2312" w:hAnsi="黑体" w:eastAsia="仿宋_GB2312" w:cs="黑体"/>
              <w:b/>
              <w:bCs/>
              <w:snapToGrid w:val="0"/>
              <w:color w:val="auto"/>
              <w:lang w:eastAsia="zh-CN" w:bidi="ar"/>
            </w:rPr>
            <w:t>一、</w:t>
          </w:r>
          <w:r>
            <w:rPr>
              <w:rStyle w:val="24"/>
              <w:rFonts w:ascii="仿宋_GB2312" w:hAnsi="黑体" w:eastAsia="仿宋_GB2312" w:cs="黑体"/>
              <w:b/>
              <w:bCs/>
              <w:snapToGrid w:val="0"/>
              <w:color w:val="auto"/>
              <w:lang w:bidi="ar"/>
            </w:rPr>
            <w:t>加强食品安全监管</w:t>
          </w:r>
          <w:r>
            <w:rPr>
              <w:color w:val="auto"/>
            </w:rPr>
            <w:tab/>
          </w:r>
          <w:r>
            <w:rPr>
              <w:rFonts w:hint="eastAsia"/>
              <w:color w:val="auto"/>
              <w:lang w:val="en-US" w:eastAsia="zh-CN"/>
            </w:rPr>
            <w:t>3</w:t>
          </w:r>
          <w:r>
            <w:rPr>
              <w:color w:val="auto"/>
            </w:rPr>
            <w:fldChar w:fldCharType="end"/>
          </w:r>
          <w:r>
            <w:rPr>
              <w:rFonts w:hint="eastAsia"/>
              <w:color w:val="auto"/>
              <w:lang w:val="en-US" w:eastAsia="zh-CN"/>
            </w:rPr>
            <w:t>0</w:t>
          </w:r>
        </w:p>
        <w:p>
          <w:pPr>
            <w:pStyle w:val="9"/>
            <w:tabs>
              <w:tab w:val="right" w:leader="dot" w:pos="9016"/>
            </w:tabs>
            <w:rPr>
              <w:rFonts w:cstheme="minorBidi"/>
              <w:color w:val="auto"/>
              <w:kern w:val="2"/>
              <w:sz w:val="21"/>
            </w:rPr>
          </w:pPr>
          <w:r>
            <w:rPr>
              <w:color w:val="auto"/>
            </w:rPr>
            <w:fldChar w:fldCharType="begin"/>
          </w:r>
          <w:r>
            <w:rPr>
              <w:color w:val="auto"/>
            </w:rPr>
            <w:instrText xml:space="preserve"> HYPERLINK \l "_Toc77261198" </w:instrText>
          </w:r>
          <w:r>
            <w:rPr>
              <w:color w:val="auto"/>
            </w:rPr>
            <w:fldChar w:fldCharType="separate"/>
          </w:r>
          <w:r>
            <w:rPr>
              <w:rStyle w:val="24"/>
              <w:rFonts w:hint="eastAsia" w:ascii="仿宋_GB2312" w:hAnsi="黑体" w:eastAsia="仿宋_GB2312" w:cs="黑体"/>
              <w:b/>
              <w:bCs/>
              <w:snapToGrid w:val="0"/>
              <w:color w:val="auto"/>
              <w:lang w:eastAsia="zh-CN" w:bidi="ar"/>
            </w:rPr>
            <w:t>二、</w:t>
          </w:r>
          <w:r>
            <w:rPr>
              <w:rStyle w:val="24"/>
              <w:rFonts w:ascii="仿宋_GB2312" w:hAnsi="黑体" w:eastAsia="仿宋_GB2312" w:cs="黑体"/>
              <w:b/>
              <w:bCs/>
              <w:snapToGrid w:val="0"/>
              <w:color w:val="auto"/>
              <w:lang w:bidi="ar"/>
            </w:rPr>
            <w:t>加强药品安全监管</w:t>
          </w:r>
          <w:r>
            <w:rPr>
              <w:color w:val="auto"/>
            </w:rPr>
            <w:tab/>
          </w:r>
          <w:r>
            <w:rPr>
              <w:color w:val="auto"/>
            </w:rPr>
            <w:fldChar w:fldCharType="begin"/>
          </w:r>
          <w:r>
            <w:rPr>
              <w:color w:val="auto"/>
            </w:rPr>
            <w:instrText xml:space="preserve"> PAGEREF _Toc77261198 \h </w:instrText>
          </w:r>
          <w:r>
            <w:rPr>
              <w:color w:val="auto"/>
            </w:rPr>
            <w:fldChar w:fldCharType="separate"/>
          </w:r>
          <w:r>
            <w:rPr>
              <w:color w:val="auto"/>
            </w:rPr>
            <w:t>32</w:t>
          </w:r>
          <w:r>
            <w:rPr>
              <w:color w:val="auto"/>
            </w:rPr>
            <w:fldChar w:fldCharType="end"/>
          </w:r>
          <w:r>
            <w:rPr>
              <w:color w:val="auto"/>
            </w:rPr>
            <w:fldChar w:fldCharType="end"/>
          </w:r>
        </w:p>
        <w:p>
          <w:pPr>
            <w:pStyle w:val="9"/>
            <w:tabs>
              <w:tab w:val="right" w:leader="dot" w:pos="9016"/>
            </w:tabs>
            <w:rPr>
              <w:rFonts w:cstheme="minorBidi"/>
              <w:color w:val="auto"/>
              <w:kern w:val="2"/>
              <w:sz w:val="21"/>
            </w:rPr>
          </w:pPr>
          <w:r>
            <w:rPr>
              <w:color w:val="auto"/>
            </w:rPr>
            <w:fldChar w:fldCharType="begin"/>
          </w:r>
          <w:r>
            <w:rPr>
              <w:color w:val="auto"/>
            </w:rPr>
            <w:instrText xml:space="preserve"> HYPERLINK \l "_Toc77261199" </w:instrText>
          </w:r>
          <w:r>
            <w:rPr>
              <w:color w:val="auto"/>
            </w:rPr>
            <w:fldChar w:fldCharType="separate"/>
          </w:r>
          <w:r>
            <w:rPr>
              <w:rStyle w:val="24"/>
              <w:rFonts w:hint="eastAsia" w:ascii="仿宋_GB2312" w:hAnsi="黑体" w:eastAsia="仿宋_GB2312" w:cs="黑体"/>
              <w:b/>
              <w:bCs/>
              <w:snapToGrid w:val="0"/>
              <w:color w:val="auto"/>
              <w:lang w:eastAsia="zh-CN" w:bidi="ar"/>
            </w:rPr>
            <w:t>三、</w:t>
          </w:r>
          <w:r>
            <w:rPr>
              <w:rStyle w:val="24"/>
              <w:rFonts w:ascii="仿宋_GB2312" w:hAnsi="黑体" w:eastAsia="仿宋_GB2312" w:cs="黑体"/>
              <w:b/>
              <w:bCs/>
              <w:snapToGrid w:val="0"/>
              <w:color w:val="auto"/>
              <w:lang w:bidi="ar"/>
            </w:rPr>
            <w:t>加强特种设备安全监管</w:t>
          </w:r>
          <w:r>
            <w:rPr>
              <w:color w:val="auto"/>
            </w:rPr>
            <w:tab/>
          </w:r>
          <w:r>
            <w:rPr>
              <w:color w:val="auto"/>
            </w:rPr>
            <w:fldChar w:fldCharType="begin"/>
          </w:r>
          <w:r>
            <w:rPr>
              <w:color w:val="auto"/>
            </w:rPr>
            <w:instrText xml:space="preserve"> PAGEREF _Toc77261199 \h </w:instrText>
          </w:r>
          <w:r>
            <w:rPr>
              <w:color w:val="auto"/>
            </w:rPr>
            <w:fldChar w:fldCharType="separate"/>
          </w:r>
          <w:r>
            <w:rPr>
              <w:color w:val="auto"/>
            </w:rPr>
            <w:t>36</w:t>
          </w:r>
          <w:r>
            <w:rPr>
              <w:color w:val="auto"/>
            </w:rPr>
            <w:fldChar w:fldCharType="end"/>
          </w:r>
          <w:r>
            <w:rPr>
              <w:color w:val="auto"/>
            </w:rPr>
            <w:fldChar w:fldCharType="end"/>
          </w:r>
        </w:p>
        <w:p>
          <w:pPr>
            <w:pStyle w:val="9"/>
            <w:tabs>
              <w:tab w:val="right" w:leader="dot" w:pos="9016"/>
            </w:tabs>
            <w:rPr>
              <w:rFonts w:cstheme="minorBidi"/>
              <w:color w:val="auto"/>
              <w:kern w:val="2"/>
              <w:sz w:val="21"/>
            </w:rPr>
          </w:pPr>
          <w:r>
            <w:rPr>
              <w:color w:val="auto"/>
            </w:rPr>
            <w:fldChar w:fldCharType="begin"/>
          </w:r>
          <w:r>
            <w:rPr>
              <w:color w:val="auto"/>
            </w:rPr>
            <w:instrText xml:space="preserve"> HYPERLINK \l "_Toc77261200" </w:instrText>
          </w:r>
          <w:r>
            <w:rPr>
              <w:color w:val="auto"/>
            </w:rPr>
            <w:fldChar w:fldCharType="separate"/>
          </w:r>
          <w:r>
            <w:rPr>
              <w:rStyle w:val="24"/>
              <w:rFonts w:hint="eastAsia" w:ascii="仿宋_GB2312" w:hAnsi="黑体" w:eastAsia="仿宋_GB2312" w:cs="黑体"/>
              <w:b/>
              <w:bCs/>
              <w:snapToGrid w:val="0"/>
              <w:color w:val="auto"/>
              <w:lang w:eastAsia="zh-CN" w:bidi="ar"/>
            </w:rPr>
            <w:t>四、</w:t>
          </w:r>
          <w:r>
            <w:rPr>
              <w:rStyle w:val="24"/>
              <w:rFonts w:ascii="仿宋_GB2312" w:hAnsi="黑体" w:eastAsia="仿宋_GB2312" w:cs="黑体"/>
              <w:b/>
              <w:bCs/>
              <w:snapToGrid w:val="0"/>
              <w:color w:val="auto"/>
              <w:lang w:bidi="ar"/>
            </w:rPr>
            <w:t>加强产品质量安全监管</w:t>
          </w:r>
          <w:r>
            <w:rPr>
              <w:color w:val="auto"/>
            </w:rPr>
            <w:tab/>
          </w:r>
          <w:r>
            <w:rPr>
              <w:color w:val="auto"/>
            </w:rPr>
            <w:fldChar w:fldCharType="begin"/>
          </w:r>
          <w:r>
            <w:rPr>
              <w:color w:val="auto"/>
            </w:rPr>
            <w:instrText xml:space="preserve"> PAGEREF _Toc77261200 \h </w:instrText>
          </w:r>
          <w:r>
            <w:rPr>
              <w:color w:val="auto"/>
            </w:rPr>
            <w:fldChar w:fldCharType="separate"/>
          </w:r>
          <w:r>
            <w:rPr>
              <w:color w:val="auto"/>
            </w:rPr>
            <w:t>37</w:t>
          </w:r>
          <w:r>
            <w:rPr>
              <w:color w:val="auto"/>
            </w:rPr>
            <w:fldChar w:fldCharType="end"/>
          </w:r>
          <w:r>
            <w:rPr>
              <w:color w:val="auto"/>
            </w:rPr>
            <w:fldChar w:fldCharType="end"/>
          </w:r>
        </w:p>
        <w:p>
          <w:pPr>
            <w:pStyle w:val="17"/>
            <w:tabs>
              <w:tab w:val="right" w:leader="dot" w:pos="9016"/>
            </w:tabs>
            <w:rPr>
              <w:rFonts w:cstheme="minorBidi"/>
              <w:color w:val="auto"/>
              <w:kern w:val="2"/>
              <w:sz w:val="21"/>
            </w:rPr>
          </w:pPr>
          <w:r>
            <w:rPr>
              <w:color w:val="auto"/>
            </w:rPr>
            <w:fldChar w:fldCharType="begin"/>
          </w:r>
          <w:r>
            <w:rPr>
              <w:color w:val="auto"/>
            </w:rPr>
            <w:instrText xml:space="preserve"> HYPERLINK \l "_Toc77261214" </w:instrText>
          </w:r>
          <w:r>
            <w:rPr>
              <w:color w:val="auto"/>
            </w:rPr>
            <w:fldChar w:fldCharType="separate"/>
          </w:r>
          <w:r>
            <w:rPr>
              <w:rStyle w:val="24"/>
              <w:rFonts w:ascii="Times New Roman" w:hAnsi="Times New Roman" w:eastAsia="楷体_GB2312"/>
              <w:snapToGrid w:val="0"/>
              <w:color w:val="auto"/>
            </w:rPr>
            <w:t>第</w:t>
          </w:r>
          <w:r>
            <w:rPr>
              <w:rStyle w:val="24"/>
              <w:rFonts w:hint="eastAsia" w:ascii="Times New Roman" w:hAnsi="Times New Roman" w:eastAsia="楷体_GB2312"/>
              <w:snapToGrid w:val="0"/>
              <w:color w:val="auto"/>
              <w:lang w:eastAsia="zh-CN"/>
            </w:rPr>
            <w:t>四</w:t>
          </w:r>
          <w:r>
            <w:rPr>
              <w:rStyle w:val="24"/>
              <w:rFonts w:ascii="Times New Roman" w:hAnsi="Times New Roman" w:eastAsia="楷体_GB2312"/>
              <w:snapToGrid w:val="0"/>
              <w:color w:val="auto"/>
            </w:rPr>
            <w:t>节 旅游消费环境提升工程</w:t>
          </w:r>
          <w:r>
            <w:rPr>
              <w:color w:val="auto"/>
            </w:rPr>
            <w:tab/>
          </w:r>
          <w:r>
            <w:rPr>
              <w:color w:val="auto"/>
            </w:rPr>
            <w:fldChar w:fldCharType="begin"/>
          </w:r>
          <w:r>
            <w:rPr>
              <w:color w:val="auto"/>
            </w:rPr>
            <w:instrText xml:space="preserve"> PAGEREF _Toc77261214 \h </w:instrText>
          </w:r>
          <w:r>
            <w:rPr>
              <w:color w:val="auto"/>
            </w:rPr>
            <w:fldChar w:fldCharType="separate"/>
          </w:r>
          <w:r>
            <w:rPr>
              <w:color w:val="auto"/>
            </w:rPr>
            <w:t>38</w:t>
          </w:r>
          <w:r>
            <w:rPr>
              <w:color w:val="auto"/>
            </w:rPr>
            <w:fldChar w:fldCharType="end"/>
          </w:r>
          <w:r>
            <w:rPr>
              <w:color w:val="auto"/>
            </w:rPr>
            <w:fldChar w:fldCharType="end"/>
          </w:r>
        </w:p>
        <w:p>
          <w:pPr>
            <w:pStyle w:val="9"/>
            <w:tabs>
              <w:tab w:val="right" w:leader="dot" w:pos="9016"/>
            </w:tabs>
            <w:rPr>
              <w:rFonts w:cstheme="minorBidi"/>
              <w:color w:val="auto"/>
              <w:kern w:val="2"/>
              <w:sz w:val="21"/>
            </w:rPr>
          </w:pPr>
          <w:r>
            <w:rPr>
              <w:color w:val="auto"/>
            </w:rPr>
            <w:fldChar w:fldCharType="begin"/>
          </w:r>
          <w:r>
            <w:rPr>
              <w:color w:val="auto"/>
            </w:rPr>
            <w:instrText xml:space="preserve"> HYPERLINK \l "_Toc77261215" </w:instrText>
          </w:r>
          <w:r>
            <w:rPr>
              <w:color w:val="auto"/>
            </w:rPr>
            <w:fldChar w:fldCharType="separate"/>
          </w:r>
          <w:r>
            <w:rPr>
              <w:rStyle w:val="24"/>
              <w:rFonts w:hint="eastAsia" w:ascii="仿宋_GB2312" w:hAnsi="黑体" w:eastAsia="仿宋_GB2312" w:cs="黑体"/>
              <w:b/>
              <w:bCs/>
              <w:snapToGrid w:val="0"/>
              <w:color w:val="auto"/>
              <w:lang w:eastAsia="zh-CN" w:bidi="ar"/>
            </w:rPr>
            <w:t>一、</w:t>
          </w:r>
          <w:r>
            <w:rPr>
              <w:rStyle w:val="24"/>
              <w:rFonts w:ascii="仿宋_GB2312" w:hAnsi="黑体" w:eastAsia="仿宋_GB2312" w:cs="黑体"/>
              <w:b/>
              <w:bCs/>
              <w:snapToGrid w:val="0"/>
              <w:color w:val="auto"/>
              <w:lang w:bidi="ar"/>
            </w:rPr>
            <w:t>强化消费维权</w:t>
          </w:r>
          <w:r>
            <w:rPr>
              <w:color w:val="auto"/>
            </w:rPr>
            <w:tab/>
          </w:r>
          <w:r>
            <w:rPr>
              <w:color w:val="auto"/>
            </w:rPr>
            <w:fldChar w:fldCharType="begin"/>
          </w:r>
          <w:r>
            <w:rPr>
              <w:color w:val="auto"/>
            </w:rPr>
            <w:instrText xml:space="preserve"> PAGEREF _Toc77261215 \h </w:instrText>
          </w:r>
          <w:r>
            <w:rPr>
              <w:color w:val="auto"/>
            </w:rPr>
            <w:fldChar w:fldCharType="separate"/>
          </w:r>
          <w:r>
            <w:rPr>
              <w:color w:val="auto"/>
            </w:rPr>
            <w:t>38</w:t>
          </w:r>
          <w:r>
            <w:rPr>
              <w:color w:val="auto"/>
            </w:rPr>
            <w:fldChar w:fldCharType="end"/>
          </w:r>
          <w:r>
            <w:rPr>
              <w:color w:val="auto"/>
            </w:rPr>
            <w:fldChar w:fldCharType="end"/>
          </w:r>
        </w:p>
        <w:p>
          <w:pPr>
            <w:pStyle w:val="9"/>
            <w:tabs>
              <w:tab w:val="right" w:leader="dot" w:pos="9016"/>
            </w:tabs>
            <w:rPr>
              <w:rFonts w:cstheme="minorBidi"/>
              <w:color w:val="auto"/>
              <w:kern w:val="2"/>
              <w:sz w:val="21"/>
            </w:rPr>
          </w:pPr>
          <w:r>
            <w:rPr>
              <w:color w:val="auto"/>
            </w:rPr>
            <w:fldChar w:fldCharType="begin"/>
          </w:r>
          <w:r>
            <w:rPr>
              <w:color w:val="auto"/>
            </w:rPr>
            <w:instrText xml:space="preserve"> HYPERLINK \l "_Toc77261216" </w:instrText>
          </w:r>
          <w:r>
            <w:rPr>
              <w:color w:val="auto"/>
            </w:rPr>
            <w:fldChar w:fldCharType="separate"/>
          </w:r>
          <w:r>
            <w:rPr>
              <w:rStyle w:val="24"/>
              <w:rFonts w:hint="eastAsia" w:ascii="仿宋_GB2312" w:hAnsi="黑体" w:eastAsia="仿宋_GB2312" w:cs="黑体"/>
              <w:b/>
              <w:bCs/>
              <w:snapToGrid w:val="0"/>
              <w:color w:val="auto"/>
              <w:lang w:eastAsia="zh-CN" w:bidi="ar"/>
            </w:rPr>
            <w:t>二、</w:t>
          </w:r>
          <w:r>
            <w:rPr>
              <w:rStyle w:val="24"/>
              <w:rFonts w:ascii="仿宋_GB2312" w:hAnsi="黑体" w:eastAsia="仿宋_GB2312" w:cs="黑体"/>
              <w:b/>
              <w:bCs/>
              <w:snapToGrid w:val="0"/>
              <w:color w:val="auto"/>
              <w:lang w:bidi="ar"/>
            </w:rPr>
            <w:t>改善消费环境</w:t>
          </w:r>
          <w:r>
            <w:rPr>
              <w:color w:val="auto"/>
            </w:rPr>
            <w:tab/>
          </w:r>
          <w:r>
            <w:rPr>
              <w:color w:val="auto"/>
            </w:rPr>
            <w:fldChar w:fldCharType="begin"/>
          </w:r>
          <w:r>
            <w:rPr>
              <w:color w:val="auto"/>
            </w:rPr>
            <w:instrText xml:space="preserve"> PAGEREF _Toc77261216 \h </w:instrText>
          </w:r>
          <w:r>
            <w:rPr>
              <w:color w:val="auto"/>
            </w:rPr>
            <w:fldChar w:fldCharType="separate"/>
          </w:r>
          <w:r>
            <w:rPr>
              <w:color w:val="auto"/>
            </w:rPr>
            <w:t>39</w:t>
          </w:r>
          <w:r>
            <w:rPr>
              <w:color w:val="auto"/>
            </w:rPr>
            <w:fldChar w:fldCharType="end"/>
          </w:r>
          <w:r>
            <w:rPr>
              <w:color w:val="auto"/>
            </w:rPr>
            <w:fldChar w:fldCharType="end"/>
          </w:r>
        </w:p>
        <w:p>
          <w:pPr>
            <w:pStyle w:val="17"/>
            <w:tabs>
              <w:tab w:val="right" w:leader="dot" w:pos="9016"/>
            </w:tabs>
            <w:ind w:firstLine="220" w:firstLineChars="100"/>
            <w:rPr>
              <w:rFonts w:hint="eastAsia" w:eastAsiaTheme="minorEastAsia"/>
              <w:color w:val="auto"/>
              <w:lang w:val="en-US" w:eastAsia="zh-CN"/>
            </w:rPr>
          </w:pPr>
          <w:r>
            <w:rPr>
              <w:color w:val="auto"/>
            </w:rPr>
            <w:fldChar w:fldCharType="begin"/>
          </w:r>
          <w:r>
            <w:rPr>
              <w:color w:val="auto"/>
            </w:rPr>
            <w:instrText xml:space="preserve"> HYPERLINK \l "_Toc77261217" </w:instrText>
          </w:r>
          <w:r>
            <w:rPr>
              <w:color w:val="auto"/>
            </w:rPr>
            <w:fldChar w:fldCharType="separate"/>
          </w:r>
          <w:r>
            <w:rPr>
              <w:rStyle w:val="24"/>
              <w:rFonts w:hint="eastAsia" w:ascii="仿宋_GB2312" w:hAnsi="黑体" w:eastAsia="仿宋_GB2312" w:cs="黑体"/>
              <w:b/>
              <w:bCs/>
              <w:snapToGrid w:val="0"/>
              <w:color w:val="auto"/>
              <w:lang w:eastAsia="zh-CN" w:bidi="ar"/>
            </w:rPr>
            <w:t>三、突出</w:t>
          </w:r>
          <w:r>
            <w:rPr>
              <w:rStyle w:val="24"/>
              <w:rFonts w:ascii="仿宋_GB2312" w:hAnsi="黑体" w:eastAsia="仿宋_GB2312" w:cs="黑体"/>
              <w:b/>
              <w:bCs/>
              <w:snapToGrid w:val="0"/>
              <w:color w:val="auto"/>
              <w:lang w:bidi="ar"/>
            </w:rPr>
            <w:t>重点领域</w:t>
          </w:r>
          <w:r>
            <w:rPr>
              <w:color w:val="auto"/>
            </w:rPr>
            <w:tab/>
          </w:r>
          <w:r>
            <w:rPr>
              <w:rFonts w:hint="eastAsia"/>
              <w:color w:val="auto"/>
              <w:lang w:val="en-US" w:eastAsia="zh-CN"/>
            </w:rPr>
            <w:t>4</w:t>
          </w:r>
          <w:r>
            <w:rPr>
              <w:color w:val="auto"/>
            </w:rPr>
            <w:fldChar w:fldCharType="end"/>
          </w:r>
          <w:r>
            <w:rPr>
              <w:rFonts w:hint="eastAsia"/>
              <w:color w:val="auto"/>
              <w:lang w:val="en-US" w:eastAsia="zh-CN"/>
            </w:rPr>
            <w:t>0</w:t>
          </w:r>
        </w:p>
        <w:p>
          <w:pPr>
            <w:pStyle w:val="17"/>
            <w:tabs>
              <w:tab w:val="right" w:leader="dot" w:pos="9016"/>
            </w:tabs>
            <w:rPr>
              <w:rFonts w:hint="default" w:eastAsiaTheme="minorEastAsia" w:cstheme="minorBidi"/>
              <w:color w:val="auto"/>
              <w:kern w:val="2"/>
              <w:sz w:val="21"/>
              <w:lang w:val="en-US" w:eastAsia="zh-CN"/>
            </w:rPr>
          </w:pPr>
          <w:r>
            <w:rPr>
              <w:color w:val="auto"/>
            </w:rPr>
            <w:fldChar w:fldCharType="begin"/>
          </w:r>
          <w:r>
            <w:rPr>
              <w:color w:val="auto"/>
            </w:rPr>
            <w:instrText xml:space="preserve"> HYPERLINK \l "_Toc77261201" </w:instrText>
          </w:r>
          <w:r>
            <w:rPr>
              <w:color w:val="auto"/>
            </w:rPr>
            <w:fldChar w:fldCharType="separate"/>
          </w:r>
          <w:r>
            <w:rPr>
              <w:rStyle w:val="24"/>
              <w:rFonts w:ascii="Times New Roman" w:hAnsi="Times New Roman" w:eastAsia="楷体_GB2312"/>
              <w:snapToGrid w:val="0"/>
              <w:color w:val="auto"/>
            </w:rPr>
            <w:t>第</w:t>
          </w:r>
          <w:r>
            <w:rPr>
              <w:rStyle w:val="24"/>
              <w:rFonts w:hint="eastAsia" w:ascii="Times New Roman" w:hAnsi="Times New Roman" w:eastAsia="楷体_GB2312"/>
              <w:snapToGrid w:val="0"/>
              <w:color w:val="auto"/>
              <w:lang w:eastAsia="zh-CN"/>
            </w:rPr>
            <w:t>五</w:t>
          </w:r>
          <w:r>
            <w:rPr>
              <w:rStyle w:val="24"/>
              <w:rFonts w:ascii="Times New Roman" w:hAnsi="Times New Roman" w:eastAsia="楷体_GB2312"/>
              <w:snapToGrid w:val="0"/>
              <w:color w:val="auto"/>
            </w:rPr>
            <w:t>节 市场监督体系强基工程</w:t>
          </w:r>
          <w:r>
            <w:rPr>
              <w:color w:val="auto"/>
            </w:rPr>
            <w:tab/>
          </w:r>
          <w:r>
            <w:rPr>
              <w:rFonts w:hint="eastAsia"/>
              <w:color w:val="auto"/>
              <w:lang w:val="en-US" w:eastAsia="zh-CN"/>
            </w:rPr>
            <w:t>4</w:t>
          </w:r>
          <w:r>
            <w:rPr>
              <w:color w:val="auto"/>
            </w:rPr>
            <w:fldChar w:fldCharType="end"/>
          </w:r>
          <w:r>
            <w:rPr>
              <w:rFonts w:hint="eastAsia"/>
              <w:color w:val="auto"/>
              <w:lang w:val="en-US" w:eastAsia="zh-CN"/>
            </w:rPr>
            <w:t>2</w:t>
          </w:r>
        </w:p>
        <w:p>
          <w:pPr>
            <w:pStyle w:val="9"/>
            <w:tabs>
              <w:tab w:val="right" w:leader="dot" w:pos="9016"/>
            </w:tabs>
            <w:rPr>
              <w:rFonts w:cstheme="minorBidi"/>
              <w:color w:val="auto"/>
              <w:kern w:val="2"/>
              <w:sz w:val="21"/>
            </w:rPr>
          </w:pPr>
          <w:r>
            <w:rPr>
              <w:color w:val="auto"/>
            </w:rPr>
            <w:fldChar w:fldCharType="begin"/>
          </w:r>
          <w:r>
            <w:rPr>
              <w:color w:val="auto"/>
            </w:rPr>
            <w:instrText xml:space="preserve"> HYPERLINK \l "_Toc77261202" </w:instrText>
          </w:r>
          <w:r>
            <w:rPr>
              <w:color w:val="auto"/>
            </w:rPr>
            <w:fldChar w:fldCharType="separate"/>
          </w:r>
          <w:r>
            <w:rPr>
              <w:rStyle w:val="24"/>
              <w:rFonts w:hint="eastAsia" w:ascii="仿宋_GB2312" w:hAnsi="黑体" w:eastAsia="仿宋_GB2312" w:cs="黑体"/>
              <w:b/>
              <w:bCs/>
              <w:snapToGrid w:val="0"/>
              <w:color w:val="auto"/>
              <w:lang w:eastAsia="zh-CN" w:bidi="ar"/>
            </w:rPr>
            <w:t>一、</w:t>
          </w:r>
          <w:r>
            <w:rPr>
              <w:rStyle w:val="24"/>
              <w:rFonts w:ascii="仿宋_GB2312" w:hAnsi="黑体" w:eastAsia="仿宋_GB2312" w:cs="黑体"/>
              <w:b/>
              <w:bCs/>
              <w:snapToGrid w:val="0"/>
              <w:color w:val="auto"/>
              <w:lang w:bidi="ar"/>
            </w:rPr>
            <w:t>加强市场监管法</w:t>
          </w:r>
          <w:r>
            <w:rPr>
              <w:rStyle w:val="24"/>
              <w:rFonts w:hint="eastAsia" w:ascii="仿宋_GB2312" w:hAnsi="黑体" w:eastAsia="仿宋_GB2312" w:cs="黑体"/>
              <w:b/>
              <w:bCs/>
              <w:snapToGrid w:val="0"/>
              <w:color w:val="auto"/>
              <w:lang w:eastAsia="zh-CN" w:bidi="ar"/>
            </w:rPr>
            <w:t>治</w:t>
          </w:r>
          <w:r>
            <w:rPr>
              <w:rStyle w:val="24"/>
              <w:rFonts w:ascii="仿宋_GB2312" w:hAnsi="黑体" w:eastAsia="仿宋_GB2312" w:cs="黑体"/>
              <w:b/>
              <w:bCs/>
              <w:snapToGrid w:val="0"/>
              <w:color w:val="auto"/>
              <w:lang w:bidi="ar"/>
            </w:rPr>
            <w:t>建设</w:t>
          </w:r>
          <w:r>
            <w:rPr>
              <w:color w:val="auto"/>
            </w:rPr>
            <w:tab/>
          </w:r>
          <w:r>
            <w:rPr>
              <w:color w:val="auto"/>
            </w:rPr>
            <w:fldChar w:fldCharType="begin"/>
          </w:r>
          <w:r>
            <w:rPr>
              <w:color w:val="auto"/>
            </w:rPr>
            <w:instrText xml:space="preserve"> PAGEREF _Toc77261202 \h </w:instrText>
          </w:r>
          <w:r>
            <w:rPr>
              <w:color w:val="auto"/>
            </w:rPr>
            <w:fldChar w:fldCharType="separate"/>
          </w:r>
          <w:r>
            <w:rPr>
              <w:color w:val="auto"/>
            </w:rPr>
            <w:t>42</w:t>
          </w:r>
          <w:r>
            <w:rPr>
              <w:color w:val="auto"/>
            </w:rPr>
            <w:fldChar w:fldCharType="end"/>
          </w:r>
          <w:r>
            <w:rPr>
              <w:color w:val="auto"/>
            </w:rPr>
            <w:fldChar w:fldCharType="end"/>
          </w:r>
        </w:p>
        <w:p>
          <w:pPr>
            <w:pStyle w:val="9"/>
            <w:tabs>
              <w:tab w:val="right" w:leader="dot" w:pos="9016"/>
            </w:tabs>
            <w:rPr>
              <w:rFonts w:cstheme="minorBidi"/>
              <w:color w:val="auto"/>
              <w:kern w:val="2"/>
              <w:sz w:val="21"/>
            </w:rPr>
          </w:pPr>
          <w:r>
            <w:rPr>
              <w:color w:val="auto"/>
            </w:rPr>
            <w:fldChar w:fldCharType="begin"/>
          </w:r>
          <w:r>
            <w:rPr>
              <w:color w:val="auto"/>
            </w:rPr>
            <w:instrText xml:space="preserve"> HYPERLINK \l "_Toc77261203" </w:instrText>
          </w:r>
          <w:r>
            <w:rPr>
              <w:color w:val="auto"/>
            </w:rPr>
            <w:fldChar w:fldCharType="separate"/>
          </w:r>
          <w:r>
            <w:rPr>
              <w:rStyle w:val="24"/>
              <w:rFonts w:hint="eastAsia" w:ascii="仿宋_GB2312" w:hAnsi="黑体" w:eastAsia="仿宋_GB2312" w:cs="黑体"/>
              <w:b/>
              <w:bCs/>
              <w:snapToGrid w:val="0"/>
              <w:color w:val="auto"/>
              <w:lang w:eastAsia="zh-CN" w:bidi="ar"/>
            </w:rPr>
            <w:t>二、</w:t>
          </w:r>
          <w:r>
            <w:rPr>
              <w:rStyle w:val="24"/>
              <w:rFonts w:ascii="仿宋_GB2312" w:hAnsi="黑体" w:eastAsia="仿宋_GB2312" w:cs="黑体"/>
              <w:b/>
              <w:bCs/>
              <w:snapToGrid w:val="0"/>
              <w:color w:val="auto"/>
              <w:lang w:bidi="ar"/>
            </w:rPr>
            <w:t>强化综合执法基础工作</w:t>
          </w:r>
          <w:r>
            <w:rPr>
              <w:color w:val="auto"/>
            </w:rPr>
            <w:tab/>
          </w:r>
          <w:r>
            <w:rPr>
              <w:color w:val="auto"/>
            </w:rPr>
            <w:fldChar w:fldCharType="begin"/>
          </w:r>
          <w:r>
            <w:rPr>
              <w:color w:val="auto"/>
            </w:rPr>
            <w:instrText xml:space="preserve"> PAGEREF _Toc77261203 \h </w:instrText>
          </w:r>
          <w:r>
            <w:rPr>
              <w:color w:val="auto"/>
            </w:rPr>
            <w:fldChar w:fldCharType="separate"/>
          </w:r>
          <w:r>
            <w:rPr>
              <w:color w:val="auto"/>
            </w:rPr>
            <w:t>43</w:t>
          </w:r>
          <w:r>
            <w:rPr>
              <w:color w:val="auto"/>
            </w:rPr>
            <w:fldChar w:fldCharType="end"/>
          </w:r>
          <w:r>
            <w:rPr>
              <w:color w:val="auto"/>
            </w:rPr>
            <w:fldChar w:fldCharType="end"/>
          </w:r>
        </w:p>
        <w:p>
          <w:pPr>
            <w:pStyle w:val="9"/>
            <w:tabs>
              <w:tab w:val="right" w:leader="dot" w:pos="9016"/>
            </w:tabs>
            <w:rPr>
              <w:rFonts w:cstheme="minorBidi"/>
              <w:color w:val="auto"/>
              <w:kern w:val="2"/>
              <w:sz w:val="21"/>
            </w:rPr>
          </w:pPr>
          <w:r>
            <w:rPr>
              <w:color w:val="auto"/>
            </w:rPr>
            <w:fldChar w:fldCharType="begin"/>
          </w:r>
          <w:r>
            <w:rPr>
              <w:color w:val="auto"/>
            </w:rPr>
            <w:instrText xml:space="preserve"> HYPERLINK \l "_Toc77261204" </w:instrText>
          </w:r>
          <w:r>
            <w:rPr>
              <w:color w:val="auto"/>
            </w:rPr>
            <w:fldChar w:fldCharType="separate"/>
          </w:r>
          <w:r>
            <w:rPr>
              <w:rStyle w:val="24"/>
              <w:rFonts w:hint="eastAsia" w:ascii="仿宋_GB2312" w:hAnsi="黑体" w:eastAsia="仿宋_GB2312" w:cs="黑体"/>
              <w:b/>
              <w:bCs/>
              <w:snapToGrid w:val="0"/>
              <w:color w:val="auto"/>
              <w:lang w:eastAsia="zh-CN" w:bidi="ar"/>
            </w:rPr>
            <w:t>三、</w:t>
          </w:r>
          <w:r>
            <w:rPr>
              <w:rStyle w:val="24"/>
              <w:rFonts w:ascii="仿宋_GB2312" w:hAnsi="黑体" w:eastAsia="仿宋_GB2312" w:cs="黑体"/>
              <w:b/>
              <w:bCs/>
              <w:snapToGrid w:val="0"/>
              <w:color w:val="auto"/>
              <w:lang w:bidi="ar"/>
            </w:rPr>
            <w:t>加强人才队伍建设</w:t>
          </w:r>
          <w:r>
            <w:rPr>
              <w:color w:val="auto"/>
            </w:rPr>
            <w:tab/>
          </w:r>
          <w:r>
            <w:rPr>
              <w:color w:val="auto"/>
            </w:rPr>
            <w:fldChar w:fldCharType="begin"/>
          </w:r>
          <w:r>
            <w:rPr>
              <w:color w:val="auto"/>
            </w:rPr>
            <w:instrText xml:space="preserve"> PAGEREF _Toc77261204 \h </w:instrText>
          </w:r>
          <w:r>
            <w:rPr>
              <w:color w:val="auto"/>
            </w:rPr>
            <w:fldChar w:fldCharType="separate"/>
          </w:r>
          <w:r>
            <w:rPr>
              <w:color w:val="auto"/>
            </w:rPr>
            <w:t>44</w:t>
          </w:r>
          <w:r>
            <w:rPr>
              <w:color w:val="auto"/>
            </w:rPr>
            <w:fldChar w:fldCharType="end"/>
          </w:r>
          <w:r>
            <w:rPr>
              <w:color w:val="auto"/>
            </w:rPr>
            <w:fldChar w:fldCharType="end"/>
          </w:r>
        </w:p>
        <w:p>
          <w:pPr>
            <w:pStyle w:val="9"/>
            <w:tabs>
              <w:tab w:val="right" w:leader="dot" w:pos="9016"/>
            </w:tabs>
            <w:rPr>
              <w:rFonts w:cstheme="minorBidi"/>
              <w:color w:val="auto"/>
              <w:kern w:val="2"/>
              <w:sz w:val="21"/>
            </w:rPr>
          </w:pPr>
          <w:r>
            <w:rPr>
              <w:color w:val="auto"/>
            </w:rPr>
            <w:fldChar w:fldCharType="begin"/>
          </w:r>
          <w:r>
            <w:rPr>
              <w:color w:val="auto"/>
            </w:rPr>
            <w:instrText xml:space="preserve"> HYPERLINK \l "_Toc77261205" </w:instrText>
          </w:r>
          <w:r>
            <w:rPr>
              <w:color w:val="auto"/>
            </w:rPr>
            <w:fldChar w:fldCharType="separate"/>
          </w:r>
          <w:r>
            <w:rPr>
              <w:rStyle w:val="24"/>
              <w:rFonts w:hint="eastAsia" w:ascii="仿宋_GB2312" w:hAnsi="黑体" w:eastAsia="仿宋_GB2312" w:cs="黑体"/>
              <w:b/>
              <w:bCs/>
              <w:snapToGrid w:val="0"/>
              <w:color w:val="auto"/>
              <w:lang w:eastAsia="zh-CN" w:bidi="ar"/>
            </w:rPr>
            <w:t>四、</w:t>
          </w:r>
          <w:r>
            <w:rPr>
              <w:rStyle w:val="24"/>
              <w:rFonts w:ascii="仿宋_GB2312" w:hAnsi="黑体" w:eastAsia="仿宋_GB2312" w:cs="黑体"/>
              <w:b/>
              <w:bCs/>
              <w:snapToGrid w:val="0"/>
              <w:color w:val="auto"/>
              <w:lang w:bidi="ar"/>
            </w:rPr>
            <w:t>构建新型监管机制</w:t>
          </w:r>
          <w:r>
            <w:rPr>
              <w:color w:val="auto"/>
            </w:rPr>
            <w:tab/>
          </w:r>
          <w:r>
            <w:rPr>
              <w:color w:val="auto"/>
            </w:rPr>
            <w:fldChar w:fldCharType="begin"/>
          </w:r>
          <w:r>
            <w:rPr>
              <w:color w:val="auto"/>
            </w:rPr>
            <w:instrText xml:space="preserve"> PAGEREF _Toc77261205 \h </w:instrText>
          </w:r>
          <w:r>
            <w:rPr>
              <w:color w:val="auto"/>
            </w:rPr>
            <w:fldChar w:fldCharType="separate"/>
          </w:r>
          <w:r>
            <w:rPr>
              <w:color w:val="auto"/>
            </w:rPr>
            <w:t>45</w:t>
          </w:r>
          <w:r>
            <w:rPr>
              <w:color w:val="auto"/>
            </w:rPr>
            <w:fldChar w:fldCharType="end"/>
          </w:r>
          <w:r>
            <w:rPr>
              <w:color w:val="auto"/>
            </w:rPr>
            <w:fldChar w:fldCharType="end"/>
          </w:r>
        </w:p>
        <w:p>
          <w:pPr>
            <w:pStyle w:val="9"/>
            <w:tabs>
              <w:tab w:val="right" w:leader="dot" w:pos="9016"/>
            </w:tabs>
            <w:rPr>
              <w:rFonts w:cstheme="minorBidi"/>
              <w:color w:val="auto"/>
              <w:kern w:val="2"/>
              <w:sz w:val="21"/>
            </w:rPr>
          </w:pPr>
          <w:r>
            <w:rPr>
              <w:color w:val="auto"/>
            </w:rPr>
            <w:fldChar w:fldCharType="begin"/>
          </w:r>
          <w:r>
            <w:rPr>
              <w:color w:val="auto"/>
            </w:rPr>
            <w:instrText xml:space="preserve"> HYPERLINK \l "_Toc77261206" </w:instrText>
          </w:r>
          <w:r>
            <w:rPr>
              <w:color w:val="auto"/>
            </w:rPr>
            <w:fldChar w:fldCharType="separate"/>
          </w:r>
          <w:r>
            <w:rPr>
              <w:rStyle w:val="24"/>
              <w:rFonts w:hint="eastAsia" w:ascii="仿宋_GB2312" w:hAnsi="黑体" w:eastAsia="仿宋_GB2312" w:cs="黑体"/>
              <w:b/>
              <w:bCs/>
              <w:snapToGrid w:val="0"/>
              <w:color w:val="auto"/>
              <w:lang w:eastAsia="zh-CN" w:bidi="ar"/>
            </w:rPr>
            <w:t>五、</w:t>
          </w:r>
          <w:r>
            <w:rPr>
              <w:rStyle w:val="24"/>
              <w:rFonts w:ascii="仿宋_GB2312" w:hAnsi="黑体" w:eastAsia="仿宋_GB2312" w:cs="黑体"/>
              <w:b/>
              <w:bCs/>
              <w:snapToGrid w:val="0"/>
              <w:color w:val="auto"/>
              <w:lang w:bidi="ar"/>
            </w:rPr>
            <w:t>构建多元共治格局</w:t>
          </w:r>
          <w:r>
            <w:rPr>
              <w:color w:val="auto"/>
            </w:rPr>
            <w:tab/>
          </w:r>
          <w:r>
            <w:rPr>
              <w:color w:val="auto"/>
            </w:rPr>
            <w:fldChar w:fldCharType="begin"/>
          </w:r>
          <w:r>
            <w:rPr>
              <w:color w:val="auto"/>
            </w:rPr>
            <w:instrText xml:space="preserve"> PAGEREF _Toc77261206 \h </w:instrText>
          </w:r>
          <w:r>
            <w:rPr>
              <w:color w:val="auto"/>
            </w:rPr>
            <w:fldChar w:fldCharType="separate"/>
          </w:r>
          <w:r>
            <w:rPr>
              <w:color w:val="auto"/>
            </w:rPr>
            <w:t>46</w:t>
          </w:r>
          <w:r>
            <w:rPr>
              <w:color w:val="auto"/>
            </w:rPr>
            <w:fldChar w:fldCharType="end"/>
          </w:r>
          <w:r>
            <w:rPr>
              <w:color w:val="auto"/>
            </w:rPr>
            <w:fldChar w:fldCharType="end"/>
          </w:r>
        </w:p>
        <w:p>
          <w:pPr>
            <w:pStyle w:val="9"/>
            <w:tabs>
              <w:tab w:val="right" w:leader="dot" w:pos="9016"/>
            </w:tabs>
            <w:rPr>
              <w:rFonts w:cstheme="minorBidi"/>
              <w:color w:val="auto"/>
              <w:kern w:val="2"/>
              <w:sz w:val="21"/>
            </w:rPr>
          </w:pPr>
          <w:r>
            <w:rPr>
              <w:color w:val="auto"/>
            </w:rPr>
            <w:fldChar w:fldCharType="begin"/>
          </w:r>
          <w:r>
            <w:rPr>
              <w:color w:val="auto"/>
            </w:rPr>
            <w:instrText xml:space="preserve"> HYPERLINK \l "_Toc77261207" </w:instrText>
          </w:r>
          <w:r>
            <w:rPr>
              <w:color w:val="auto"/>
            </w:rPr>
            <w:fldChar w:fldCharType="separate"/>
          </w:r>
          <w:r>
            <w:rPr>
              <w:rStyle w:val="24"/>
              <w:rFonts w:hint="eastAsia" w:ascii="仿宋_GB2312" w:hAnsi="黑体" w:eastAsia="仿宋_GB2312" w:cs="黑体"/>
              <w:b/>
              <w:bCs/>
              <w:snapToGrid w:val="0"/>
              <w:color w:val="auto"/>
              <w:lang w:eastAsia="zh-CN" w:bidi="ar"/>
            </w:rPr>
            <w:t>六、</w:t>
          </w:r>
          <w:r>
            <w:rPr>
              <w:rStyle w:val="24"/>
              <w:rFonts w:ascii="仿宋_GB2312" w:hAnsi="黑体" w:eastAsia="仿宋_GB2312" w:cs="黑体"/>
              <w:b/>
              <w:bCs/>
              <w:snapToGrid w:val="0"/>
              <w:color w:val="auto"/>
              <w:lang w:bidi="ar"/>
            </w:rPr>
            <w:t>深化区域交流合作</w:t>
          </w:r>
          <w:r>
            <w:rPr>
              <w:color w:val="auto"/>
            </w:rPr>
            <w:tab/>
          </w:r>
          <w:r>
            <w:rPr>
              <w:color w:val="auto"/>
            </w:rPr>
            <w:fldChar w:fldCharType="begin"/>
          </w:r>
          <w:r>
            <w:rPr>
              <w:color w:val="auto"/>
            </w:rPr>
            <w:instrText xml:space="preserve"> PAGEREF _Toc77261207 \h </w:instrText>
          </w:r>
          <w:r>
            <w:rPr>
              <w:color w:val="auto"/>
            </w:rPr>
            <w:fldChar w:fldCharType="separate"/>
          </w:r>
          <w:r>
            <w:rPr>
              <w:color w:val="auto"/>
            </w:rPr>
            <w:t>48</w:t>
          </w:r>
          <w:r>
            <w:rPr>
              <w:color w:val="auto"/>
            </w:rPr>
            <w:fldChar w:fldCharType="end"/>
          </w:r>
          <w:r>
            <w:rPr>
              <w:color w:val="auto"/>
            </w:rPr>
            <w:fldChar w:fldCharType="end"/>
          </w:r>
        </w:p>
        <w:p>
          <w:pPr>
            <w:pStyle w:val="17"/>
            <w:tabs>
              <w:tab w:val="right" w:leader="dot" w:pos="9016"/>
            </w:tabs>
            <w:rPr>
              <w:rFonts w:cstheme="minorBidi"/>
              <w:color w:val="auto"/>
              <w:kern w:val="2"/>
              <w:sz w:val="21"/>
            </w:rPr>
          </w:pPr>
          <w:r>
            <w:rPr>
              <w:color w:val="auto"/>
            </w:rPr>
            <w:fldChar w:fldCharType="begin"/>
          </w:r>
          <w:r>
            <w:rPr>
              <w:color w:val="auto"/>
            </w:rPr>
            <w:instrText xml:space="preserve"> HYPERLINK \l "_Toc77261208" </w:instrText>
          </w:r>
          <w:r>
            <w:rPr>
              <w:color w:val="auto"/>
            </w:rPr>
            <w:fldChar w:fldCharType="separate"/>
          </w:r>
          <w:r>
            <w:rPr>
              <w:rStyle w:val="24"/>
              <w:rFonts w:ascii="Times New Roman" w:hAnsi="Times New Roman" w:eastAsia="楷体_GB2312"/>
              <w:snapToGrid w:val="0"/>
              <w:color w:val="auto"/>
            </w:rPr>
            <w:t>第</w:t>
          </w:r>
          <w:r>
            <w:rPr>
              <w:rStyle w:val="24"/>
              <w:rFonts w:hint="eastAsia" w:ascii="Times New Roman" w:hAnsi="Times New Roman" w:eastAsia="楷体_GB2312"/>
              <w:snapToGrid w:val="0"/>
              <w:color w:val="auto"/>
              <w:lang w:eastAsia="zh-CN"/>
            </w:rPr>
            <w:t>六</w:t>
          </w:r>
          <w:r>
            <w:rPr>
              <w:rStyle w:val="24"/>
              <w:rFonts w:ascii="Times New Roman" w:hAnsi="Times New Roman" w:eastAsia="楷体_GB2312"/>
              <w:snapToGrid w:val="0"/>
              <w:color w:val="auto"/>
            </w:rPr>
            <w:t>节 市场监管技术创新工程</w:t>
          </w:r>
          <w:r>
            <w:rPr>
              <w:color w:val="auto"/>
            </w:rPr>
            <w:tab/>
          </w:r>
          <w:r>
            <w:rPr>
              <w:color w:val="auto"/>
            </w:rPr>
            <w:fldChar w:fldCharType="begin"/>
          </w:r>
          <w:r>
            <w:rPr>
              <w:color w:val="auto"/>
            </w:rPr>
            <w:instrText xml:space="preserve"> PAGEREF _Toc77261208 \h </w:instrText>
          </w:r>
          <w:r>
            <w:rPr>
              <w:color w:val="auto"/>
            </w:rPr>
            <w:fldChar w:fldCharType="separate"/>
          </w:r>
          <w:r>
            <w:rPr>
              <w:color w:val="auto"/>
            </w:rPr>
            <w:t>49</w:t>
          </w:r>
          <w:r>
            <w:rPr>
              <w:color w:val="auto"/>
            </w:rPr>
            <w:fldChar w:fldCharType="end"/>
          </w:r>
          <w:r>
            <w:rPr>
              <w:color w:val="auto"/>
            </w:rPr>
            <w:fldChar w:fldCharType="end"/>
          </w:r>
        </w:p>
        <w:p>
          <w:pPr>
            <w:pStyle w:val="9"/>
            <w:tabs>
              <w:tab w:val="right" w:leader="dot" w:pos="9016"/>
            </w:tabs>
            <w:rPr>
              <w:rFonts w:cstheme="minorBidi"/>
              <w:color w:val="auto"/>
              <w:kern w:val="2"/>
              <w:sz w:val="24"/>
              <w:szCs w:val="24"/>
            </w:rPr>
          </w:pPr>
          <w:r>
            <w:rPr>
              <w:color w:val="auto"/>
              <w:sz w:val="24"/>
              <w:szCs w:val="24"/>
            </w:rPr>
            <w:fldChar w:fldCharType="begin"/>
          </w:r>
          <w:r>
            <w:rPr>
              <w:color w:val="auto"/>
              <w:sz w:val="24"/>
              <w:szCs w:val="24"/>
            </w:rPr>
            <w:instrText xml:space="preserve"> HYPERLINK \l "_Toc77261209" </w:instrText>
          </w:r>
          <w:r>
            <w:rPr>
              <w:color w:val="auto"/>
              <w:sz w:val="24"/>
              <w:szCs w:val="24"/>
            </w:rPr>
            <w:fldChar w:fldCharType="separate"/>
          </w:r>
          <w:r>
            <w:rPr>
              <w:rFonts w:hint="eastAsia"/>
              <w:color w:val="auto"/>
              <w:sz w:val="24"/>
              <w:szCs w:val="24"/>
              <w:lang w:eastAsia="zh-CN"/>
            </w:rPr>
            <w:t>一、</w:t>
          </w:r>
          <w:r>
            <w:rPr>
              <w:rStyle w:val="24"/>
              <w:rFonts w:ascii="仿宋_GB2312" w:hAnsi="黑体" w:eastAsia="仿宋_GB2312" w:cs="黑体"/>
              <w:b/>
              <w:bCs/>
              <w:snapToGrid w:val="0"/>
              <w:color w:val="auto"/>
              <w:sz w:val="24"/>
              <w:szCs w:val="24"/>
              <w:lang w:bidi="ar"/>
            </w:rPr>
            <w:t>推动计量创新改革</w:t>
          </w:r>
          <w:r>
            <w:rPr>
              <w:color w:val="auto"/>
              <w:sz w:val="24"/>
              <w:szCs w:val="24"/>
            </w:rPr>
            <w:tab/>
          </w:r>
          <w:r>
            <w:rPr>
              <w:color w:val="auto"/>
              <w:sz w:val="24"/>
              <w:szCs w:val="24"/>
            </w:rPr>
            <w:fldChar w:fldCharType="begin"/>
          </w:r>
          <w:r>
            <w:rPr>
              <w:color w:val="auto"/>
              <w:sz w:val="24"/>
              <w:szCs w:val="24"/>
            </w:rPr>
            <w:instrText xml:space="preserve"> PAGEREF _Toc77261209 \h </w:instrText>
          </w:r>
          <w:r>
            <w:rPr>
              <w:color w:val="auto"/>
              <w:sz w:val="24"/>
              <w:szCs w:val="24"/>
            </w:rPr>
            <w:fldChar w:fldCharType="separate"/>
          </w:r>
          <w:r>
            <w:rPr>
              <w:color w:val="auto"/>
              <w:sz w:val="24"/>
              <w:szCs w:val="24"/>
            </w:rPr>
            <w:t>49</w:t>
          </w:r>
          <w:r>
            <w:rPr>
              <w:color w:val="auto"/>
              <w:sz w:val="24"/>
              <w:szCs w:val="24"/>
            </w:rPr>
            <w:fldChar w:fldCharType="end"/>
          </w:r>
          <w:r>
            <w:rPr>
              <w:color w:val="auto"/>
              <w:sz w:val="24"/>
              <w:szCs w:val="24"/>
            </w:rPr>
            <w:fldChar w:fldCharType="end"/>
          </w:r>
        </w:p>
        <w:p>
          <w:pPr>
            <w:pStyle w:val="9"/>
            <w:tabs>
              <w:tab w:val="right" w:leader="dot" w:pos="9016"/>
            </w:tabs>
            <w:rPr>
              <w:rFonts w:hint="eastAsia" w:eastAsiaTheme="minorEastAsia" w:cstheme="minorBidi"/>
              <w:color w:val="auto"/>
              <w:kern w:val="2"/>
              <w:sz w:val="24"/>
              <w:szCs w:val="24"/>
              <w:lang w:val="en-US" w:eastAsia="zh-CN"/>
            </w:rPr>
          </w:pPr>
          <w:r>
            <w:rPr>
              <w:color w:val="auto"/>
              <w:sz w:val="24"/>
              <w:szCs w:val="24"/>
            </w:rPr>
            <w:fldChar w:fldCharType="begin"/>
          </w:r>
          <w:r>
            <w:rPr>
              <w:color w:val="auto"/>
              <w:sz w:val="24"/>
              <w:szCs w:val="24"/>
            </w:rPr>
            <w:instrText xml:space="preserve"> HYPERLINK \l "_Toc77261210" </w:instrText>
          </w:r>
          <w:r>
            <w:rPr>
              <w:color w:val="auto"/>
              <w:sz w:val="24"/>
              <w:szCs w:val="24"/>
            </w:rPr>
            <w:fldChar w:fldCharType="separate"/>
          </w:r>
          <w:r>
            <w:rPr>
              <w:rStyle w:val="24"/>
              <w:rFonts w:hint="eastAsia" w:ascii="仿宋_GB2312" w:hAnsi="黑体" w:eastAsia="仿宋_GB2312" w:cs="黑体"/>
              <w:b/>
              <w:bCs/>
              <w:snapToGrid w:val="0"/>
              <w:color w:val="auto"/>
              <w:sz w:val="24"/>
              <w:szCs w:val="24"/>
              <w:lang w:eastAsia="zh-CN" w:bidi="ar"/>
            </w:rPr>
            <w:t>二、</w:t>
          </w:r>
          <w:r>
            <w:rPr>
              <w:rStyle w:val="24"/>
              <w:rFonts w:ascii="仿宋_GB2312" w:hAnsi="黑体" w:eastAsia="仿宋_GB2312" w:cs="黑体"/>
              <w:b/>
              <w:bCs/>
              <w:snapToGrid w:val="0"/>
              <w:color w:val="auto"/>
              <w:sz w:val="24"/>
              <w:szCs w:val="24"/>
              <w:lang w:bidi="ar"/>
            </w:rPr>
            <w:t>提升质检水平能力</w:t>
          </w:r>
          <w:r>
            <w:rPr>
              <w:color w:val="auto"/>
              <w:sz w:val="24"/>
              <w:szCs w:val="24"/>
            </w:rPr>
            <w:tab/>
          </w:r>
          <w:r>
            <w:rPr>
              <w:rFonts w:hint="eastAsia"/>
              <w:color w:val="auto"/>
              <w:sz w:val="24"/>
              <w:szCs w:val="24"/>
              <w:lang w:val="en-US" w:eastAsia="zh-CN"/>
            </w:rPr>
            <w:t>5</w:t>
          </w:r>
          <w:r>
            <w:rPr>
              <w:color w:val="auto"/>
              <w:sz w:val="24"/>
              <w:szCs w:val="24"/>
            </w:rPr>
            <w:fldChar w:fldCharType="end"/>
          </w:r>
          <w:r>
            <w:rPr>
              <w:rFonts w:hint="eastAsia"/>
              <w:color w:val="auto"/>
              <w:sz w:val="24"/>
              <w:szCs w:val="24"/>
              <w:lang w:val="en-US" w:eastAsia="zh-CN"/>
            </w:rPr>
            <w:t>0</w:t>
          </w:r>
        </w:p>
        <w:p>
          <w:pPr>
            <w:pStyle w:val="9"/>
            <w:tabs>
              <w:tab w:val="right" w:leader="dot" w:pos="9016"/>
            </w:tabs>
            <w:rPr>
              <w:rFonts w:hint="eastAsia" w:eastAsiaTheme="minorEastAsia" w:cstheme="minorBidi"/>
              <w:color w:val="auto"/>
              <w:kern w:val="2"/>
              <w:sz w:val="24"/>
              <w:szCs w:val="24"/>
              <w:lang w:val="en-US" w:eastAsia="zh-CN"/>
            </w:rPr>
          </w:pPr>
          <w:r>
            <w:rPr>
              <w:color w:val="auto"/>
              <w:sz w:val="24"/>
              <w:szCs w:val="24"/>
            </w:rPr>
            <w:fldChar w:fldCharType="begin"/>
          </w:r>
          <w:r>
            <w:rPr>
              <w:color w:val="auto"/>
              <w:sz w:val="24"/>
              <w:szCs w:val="24"/>
            </w:rPr>
            <w:instrText xml:space="preserve"> HYPERLINK \l "_Toc77261211" </w:instrText>
          </w:r>
          <w:r>
            <w:rPr>
              <w:color w:val="auto"/>
              <w:sz w:val="24"/>
              <w:szCs w:val="24"/>
            </w:rPr>
            <w:fldChar w:fldCharType="separate"/>
          </w:r>
          <w:r>
            <w:rPr>
              <w:rStyle w:val="24"/>
              <w:rFonts w:hint="eastAsia" w:ascii="仿宋_GB2312" w:hAnsi="黑体" w:eastAsia="仿宋_GB2312" w:cs="黑体"/>
              <w:b/>
              <w:bCs/>
              <w:snapToGrid w:val="0"/>
              <w:color w:val="auto"/>
              <w:sz w:val="24"/>
              <w:szCs w:val="24"/>
              <w:lang w:eastAsia="zh-CN" w:bidi="ar"/>
            </w:rPr>
            <w:t>三、</w:t>
          </w:r>
          <w:r>
            <w:rPr>
              <w:rStyle w:val="24"/>
              <w:rFonts w:hint="eastAsia" w:ascii="仿宋_GB2312" w:hAnsi="黑体" w:eastAsia="仿宋_GB2312" w:cs="黑体"/>
              <w:b/>
              <w:bCs/>
              <w:snapToGrid w:val="0"/>
              <w:color w:val="auto"/>
              <w:sz w:val="24"/>
              <w:szCs w:val="24"/>
              <w:lang w:val="en-US" w:eastAsia="zh-CN" w:bidi="ar"/>
            </w:rPr>
            <w:t>提升</w:t>
          </w:r>
          <w:r>
            <w:rPr>
              <w:rStyle w:val="24"/>
              <w:rFonts w:hint="eastAsia" w:ascii="仿宋_GB2312" w:hAnsi="黑体" w:eastAsia="仿宋_GB2312" w:cs="黑体"/>
              <w:b/>
              <w:bCs/>
              <w:snapToGrid w:val="0"/>
              <w:color w:val="auto"/>
              <w:sz w:val="24"/>
              <w:szCs w:val="24"/>
              <w:lang w:eastAsia="zh-CN" w:bidi="ar"/>
            </w:rPr>
            <w:t>食品</w:t>
          </w:r>
          <w:r>
            <w:rPr>
              <w:rStyle w:val="24"/>
              <w:rFonts w:hint="eastAsia" w:ascii="仿宋_GB2312" w:hAnsi="黑体" w:eastAsia="仿宋_GB2312" w:cs="黑体"/>
              <w:b/>
              <w:bCs/>
              <w:snapToGrid w:val="0"/>
              <w:color w:val="auto"/>
              <w:sz w:val="24"/>
              <w:szCs w:val="24"/>
              <w:lang w:bidi="ar"/>
            </w:rPr>
            <w:t>药</w:t>
          </w:r>
          <w:r>
            <w:rPr>
              <w:rStyle w:val="24"/>
              <w:rFonts w:hint="eastAsia" w:ascii="仿宋_GB2312" w:hAnsi="黑体" w:eastAsia="仿宋_GB2312" w:cs="黑体"/>
              <w:b/>
              <w:bCs/>
              <w:snapToGrid w:val="0"/>
              <w:color w:val="auto"/>
              <w:sz w:val="24"/>
              <w:szCs w:val="24"/>
              <w:lang w:eastAsia="zh-CN" w:bidi="ar"/>
            </w:rPr>
            <w:t>品</w:t>
          </w:r>
          <w:r>
            <w:rPr>
              <w:rStyle w:val="24"/>
              <w:rFonts w:hint="eastAsia" w:ascii="仿宋_GB2312" w:hAnsi="黑体" w:eastAsia="仿宋_GB2312" w:cs="黑体"/>
              <w:b/>
              <w:bCs/>
              <w:snapToGrid w:val="0"/>
              <w:color w:val="auto"/>
              <w:sz w:val="24"/>
              <w:szCs w:val="24"/>
              <w:lang w:bidi="ar"/>
            </w:rPr>
            <w:t>检</w:t>
          </w:r>
          <w:r>
            <w:rPr>
              <w:rStyle w:val="24"/>
              <w:rFonts w:hint="eastAsia" w:ascii="仿宋_GB2312" w:hAnsi="黑体" w:eastAsia="仿宋_GB2312" w:cs="黑体"/>
              <w:b/>
              <w:bCs/>
              <w:snapToGrid w:val="0"/>
              <w:color w:val="auto"/>
              <w:sz w:val="24"/>
              <w:szCs w:val="24"/>
              <w:lang w:eastAsia="zh-CN" w:bidi="ar"/>
            </w:rPr>
            <w:t>验检</w:t>
          </w:r>
          <w:r>
            <w:rPr>
              <w:rStyle w:val="24"/>
              <w:rFonts w:hint="eastAsia" w:ascii="仿宋_GB2312" w:hAnsi="黑体" w:eastAsia="仿宋_GB2312" w:cs="黑体"/>
              <w:b/>
              <w:bCs/>
              <w:snapToGrid w:val="0"/>
              <w:color w:val="auto"/>
              <w:sz w:val="24"/>
              <w:szCs w:val="24"/>
              <w:lang w:bidi="ar"/>
            </w:rPr>
            <w:t>测</w:t>
          </w:r>
          <w:r>
            <w:rPr>
              <w:rStyle w:val="24"/>
              <w:rFonts w:hint="eastAsia" w:ascii="仿宋_GB2312" w:hAnsi="黑体" w:eastAsia="仿宋_GB2312" w:cs="黑体"/>
              <w:b/>
              <w:bCs/>
              <w:snapToGrid w:val="0"/>
              <w:color w:val="auto"/>
              <w:sz w:val="24"/>
              <w:szCs w:val="24"/>
              <w:lang w:eastAsia="zh-CN" w:bidi="ar"/>
            </w:rPr>
            <w:t>能力</w:t>
          </w:r>
          <w:r>
            <w:rPr>
              <w:color w:val="auto"/>
              <w:sz w:val="24"/>
              <w:szCs w:val="24"/>
            </w:rPr>
            <w:tab/>
          </w:r>
          <w:r>
            <w:rPr>
              <w:rFonts w:hint="eastAsia"/>
              <w:color w:val="auto"/>
              <w:sz w:val="24"/>
              <w:szCs w:val="24"/>
              <w:lang w:val="en-US" w:eastAsia="zh-CN"/>
            </w:rPr>
            <w:t>5</w:t>
          </w:r>
          <w:r>
            <w:rPr>
              <w:color w:val="auto"/>
              <w:sz w:val="24"/>
              <w:szCs w:val="24"/>
            </w:rPr>
            <w:fldChar w:fldCharType="end"/>
          </w:r>
          <w:r>
            <w:rPr>
              <w:rFonts w:hint="eastAsia"/>
              <w:color w:val="auto"/>
              <w:sz w:val="24"/>
              <w:szCs w:val="24"/>
              <w:lang w:val="en-US" w:eastAsia="zh-CN"/>
            </w:rPr>
            <w:t>1</w:t>
          </w:r>
        </w:p>
        <w:p>
          <w:pPr>
            <w:pStyle w:val="9"/>
            <w:tabs>
              <w:tab w:val="right" w:leader="dot" w:pos="9016"/>
            </w:tabs>
            <w:rPr>
              <w:rFonts w:cstheme="minorBidi"/>
              <w:color w:val="auto"/>
              <w:kern w:val="2"/>
              <w:sz w:val="24"/>
              <w:szCs w:val="24"/>
            </w:rPr>
          </w:pPr>
          <w:r>
            <w:rPr>
              <w:color w:val="auto"/>
              <w:sz w:val="24"/>
              <w:szCs w:val="24"/>
            </w:rPr>
            <w:fldChar w:fldCharType="begin"/>
          </w:r>
          <w:r>
            <w:rPr>
              <w:color w:val="auto"/>
              <w:sz w:val="24"/>
              <w:szCs w:val="24"/>
            </w:rPr>
            <w:instrText xml:space="preserve"> HYPERLINK \l "_Toc77261212" </w:instrText>
          </w:r>
          <w:r>
            <w:rPr>
              <w:color w:val="auto"/>
              <w:sz w:val="24"/>
              <w:szCs w:val="24"/>
            </w:rPr>
            <w:fldChar w:fldCharType="separate"/>
          </w:r>
          <w:r>
            <w:rPr>
              <w:rStyle w:val="24"/>
              <w:rFonts w:hint="eastAsia" w:ascii="仿宋_GB2312" w:hAnsi="黑体" w:eastAsia="仿宋_GB2312" w:cs="黑体"/>
              <w:b/>
              <w:bCs/>
              <w:snapToGrid w:val="0"/>
              <w:color w:val="auto"/>
              <w:sz w:val="24"/>
              <w:szCs w:val="24"/>
              <w:lang w:eastAsia="zh-CN" w:bidi="ar"/>
            </w:rPr>
            <w:t>四、</w:t>
          </w:r>
          <w:r>
            <w:rPr>
              <w:rStyle w:val="24"/>
              <w:rFonts w:ascii="仿宋_GB2312" w:hAnsi="黑体" w:eastAsia="仿宋_GB2312" w:cs="黑体"/>
              <w:b/>
              <w:bCs/>
              <w:snapToGrid w:val="0"/>
              <w:color w:val="auto"/>
              <w:sz w:val="24"/>
              <w:szCs w:val="24"/>
              <w:lang w:bidi="ar"/>
            </w:rPr>
            <w:t>加强特种设备检测能力建设</w:t>
          </w:r>
          <w:r>
            <w:rPr>
              <w:color w:val="auto"/>
              <w:sz w:val="24"/>
              <w:szCs w:val="24"/>
            </w:rPr>
            <w:tab/>
          </w:r>
          <w:r>
            <w:rPr>
              <w:color w:val="auto"/>
              <w:sz w:val="24"/>
              <w:szCs w:val="24"/>
            </w:rPr>
            <w:fldChar w:fldCharType="begin"/>
          </w:r>
          <w:r>
            <w:rPr>
              <w:color w:val="auto"/>
              <w:sz w:val="24"/>
              <w:szCs w:val="24"/>
            </w:rPr>
            <w:instrText xml:space="preserve"> PAGEREF _Toc77261212 \h </w:instrText>
          </w:r>
          <w:r>
            <w:rPr>
              <w:color w:val="auto"/>
              <w:sz w:val="24"/>
              <w:szCs w:val="24"/>
            </w:rPr>
            <w:fldChar w:fldCharType="separate"/>
          </w:r>
          <w:r>
            <w:rPr>
              <w:color w:val="auto"/>
              <w:sz w:val="24"/>
              <w:szCs w:val="24"/>
            </w:rPr>
            <w:t>52</w:t>
          </w:r>
          <w:r>
            <w:rPr>
              <w:color w:val="auto"/>
              <w:sz w:val="24"/>
              <w:szCs w:val="24"/>
            </w:rPr>
            <w:fldChar w:fldCharType="end"/>
          </w:r>
          <w:r>
            <w:rPr>
              <w:color w:val="auto"/>
              <w:sz w:val="24"/>
              <w:szCs w:val="24"/>
            </w:rPr>
            <w:fldChar w:fldCharType="end"/>
          </w:r>
        </w:p>
        <w:p>
          <w:pPr>
            <w:pStyle w:val="9"/>
            <w:tabs>
              <w:tab w:val="right" w:leader="dot" w:pos="9016"/>
            </w:tabs>
            <w:rPr>
              <w:rFonts w:hint="eastAsia" w:eastAsiaTheme="minorEastAsia"/>
              <w:color w:val="auto"/>
              <w:sz w:val="24"/>
              <w:szCs w:val="24"/>
              <w:lang w:eastAsia="zh-CN"/>
            </w:rPr>
          </w:pPr>
          <w:r>
            <w:rPr>
              <w:rStyle w:val="24"/>
              <w:rFonts w:hint="eastAsia" w:ascii="仿宋_GB2312" w:hAnsi="黑体" w:eastAsia="仿宋_GB2312" w:cs="黑体"/>
              <w:b/>
              <w:bCs/>
              <w:snapToGrid w:val="0"/>
              <w:color w:val="auto"/>
              <w:sz w:val="24"/>
              <w:szCs w:val="24"/>
              <w:lang w:eastAsia="zh-CN" w:bidi="ar"/>
            </w:rPr>
            <w:t>五、促进县级技术机构发展</w:t>
          </w:r>
          <w:r>
            <w:rPr>
              <w:color w:val="auto"/>
              <w:sz w:val="24"/>
              <w:szCs w:val="24"/>
            </w:rPr>
            <w:tab/>
          </w:r>
          <w:r>
            <w:rPr>
              <w:color w:val="auto"/>
              <w:sz w:val="24"/>
              <w:szCs w:val="24"/>
            </w:rPr>
            <w:fldChar w:fldCharType="begin"/>
          </w:r>
          <w:r>
            <w:rPr>
              <w:color w:val="auto"/>
              <w:sz w:val="24"/>
              <w:szCs w:val="24"/>
            </w:rPr>
            <w:instrText xml:space="preserve"> PAGEREF _Toc77261212 \h </w:instrText>
          </w:r>
          <w:r>
            <w:rPr>
              <w:color w:val="auto"/>
              <w:sz w:val="24"/>
              <w:szCs w:val="24"/>
            </w:rPr>
            <w:fldChar w:fldCharType="separate"/>
          </w:r>
          <w:r>
            <w:rPr>
              <w:color w:val="auto"/>
              <w:sz w:val="24"/>
              <w:szCs w:val="24"/>
            </w:rPr>
            <w:t>52</w:t>
          </w:r>
          <w:r>
            <w:rPr>
              <w:color w:val="auto"/>
              <w:sz w:val="24"/>
              <w:szCs w:val="24"/>
            </w:rPr>
            <w:fldChar w:fldCharType="end"/>
          </w:r>
        </w:p>
        <w:p>
          <w:pPr>
            <w:pStyle w:val="9"/>
            <w:tabs>
              <w:tab w:val="right" w:leader="dot" w:pos="9016"/>
            </w:tabs>
            <w:rPr>
              <w:rFonts w:cstheme="minorBidi"/>
              <w:color w:val="auto"/>
              <w:kern w:val="2"/>
              <w:sz w:val="21"/>
            </w:rPr>
          </w:pPr>
          <w:r>
            <w:rPr>
              <w:color w:val="auto"/>
              <w:sz w:val="24"/>
              <w:szCs w:val="24"/>
            </w:rPr>
            <w:fldChar w:fldCharType="begin"/>
          </w:r>
          <w:r>
            <w:rPr>
              <w:color w:val="auto"/>
              <w:sz w:val="24"/>
              <w:szCs w:val="24"/>
            </w:rPr>
            <w:instrText xml:space="preserve"> HYPERLINK \l "_Toc77261213" </w:instrText>
          </w:r>
          <w:r>
            <w:rPr>
              <w:color w:val="auto"/>
              <w:sz w:val="24"/>
              <w:szCs w:val="24"/>
            </w:rPr>
            <w:fldChar w:fldCharType="separate"/>
          </w:r>
          <w:r>
            <w:rPr>
              <w:rStyle w:val="24"/>
              <w:rFonts w:hint="eastAsia" w:ascii="仿宋_GB2312" w:hAnsi="黑体" w:eastAsia="仿宋_GB2312" w:cs="黑体"/>
              <w:b/>
              <w:bCs/>
              <w:snapToGrid w:val="0"/>
              <w:color w:val="auto"/>
              <w:sz w:val="24"/>
              <w:szCs w:val="24"/>
              <w:lang w:eastAsia="zh-CN" w:bidi="ar"/>
            </w:rPr>
            <w:t>六、</w:t>
          </w:r>
          <w:r>
            <w:rPr>
              <w:rStyle w:val="24"/>
              <w:rFonts w:ascii="仿宋_GB2312" w:hAnsi="黑体" w:eastAsia="仿宋_GB2312" w:cs="黑体"/>
              <w:b/>
              <w:bCs/>
              <w:snapToGrid w:val="0"/>
              <w:color w:val="auto"/>
              <w:sz w:val="24"/>
              <w:szCs w:val="24"/>
              <w:lang w:bidi="ar"/>
            </w:rPr>
            <w:t>拓展数字市场监管</w:t>
          </w:r>
          <w:r>
            <w:rPr>
              <w:color w:val="auto"/>
              <w:sz w:val="24"/>
              <w:szCs w:val="24"/>
            </w:rPr>
            <w:tab/>
          </w:r>
          <w:r>
            <w:rPr>
              <w:color w:val="auto"/>
              <w:sz w:val="24"/>
              <w:szCs w:val="24"/>
            </w:rPr>
            <w:fldChar w:fldCharType="begin"/>
          </w:r>
          <w:r>
            <w:rPr>
              <w:color w:val="auto"/>
              <w:sz w:val="24"/>
              <w:szCs w:val="24"/>
            </w:rPr>
            <w:instrText xml:space="preserve"> PAGEREF _Toc77261213 \h </w:instrText>
          </w:r>
          <w:r>
            <w:rPr>
              <w:color w:val="auto"/>
              <w:sz w:val="24"/>
              <w:szCs w:val="24"/>
            </w:rPr>
            <w:fldChar w:fldCharType="separate"/>
          </w:r>
          <w:r>
            <w:rPr>
              <w:color w:val="auto"/>
              <w:sz w:val="24"/>
              <w:szCs w:val="24"/>
            </w:rPr>
            <w:t>53</w:t>
          </w:r>
          <w:r>
            <w:rPr>
              <w:color w:val="auto"/>
              <w:sz w:val="24"/>
              <w:szCs w:val="24"/>
            </w:rPr>
            <w:fldChar w:fldCharType="end"/>
          </w:r>
          <w:r>
            <w:rPr>
              <w:color w:val="auto"/>
              <w:sz w:val="24"/>
              <w:szCs w:val="24"/>
            </w:rPr>
            <w:fldChar w:fldCharType="end"/>
          </w:r>
        </w:p>
        <w:p>
          <w:pPr>
            <w:pStyle w:val="15"/>
            <w:tabs>
              <w:tab w:val="right" w:leader="dot" w:pos="9016"/>
            </w:tabs>
            <w:rPr>
              <w:rFonts w:cstheme="minorBidi"/>
              <w:color w:val="auto"/>
              <w:kern w:val="2"/>
              <w:sz w:val="21"/>
            </w:rPr>
          </w:pPr>
          <w:r>
            <w:rPr>
              <w:color w:val="auto"/>
            </w:rPr>
            <w:fldChar w:fldCharType="begin"/>
          </w:r>
          <w:r>
            <w:rPr>
              <w:color w:val="auto"/>
            </w:rPr>
            <w:instrText xml:space="preserve"> HYPERLINK \l "_Toc77261218" </w:instrText>
          </w:r>
          <w:r>
            <w:rPr>
              <w:color w:val="auto"/>
            </w:rPr>
            <w:fldChar w:fldCharType="separate"/>
          </w:r>
          <w:r>
            <w:rPr>
              <w:rStyle w:val="24"/>
              <w:rFonts w:ascii="Times New Roman" w:hAnsi="Times New Roman" w:eastAsia="黑体"/>
              <w:snapToGrid w:val="0"/>
              <w:color w:val="auto"/>
            </w:rPr>
            <w:t>第四章  保障机制</w:t>
          </w:r>
          <w:r>
            <w:rPr>
              <w:color w:val="auto"/>
            </w:rPr>
            <w:tab/>
          </w:r>
          <w:r>
            <w:rPr>
              <w:color w:val="auto"/>
            </w:rPr>
            <w:fldChar w:fldCharType="begin"/>
          </w:r>
          <w:r>
            <w:rPr>
              <w:color w:val="auto"/>
            </w:rPr>
            <w:instrText xml:space="preserve"> PAGEREF _Toc77261218 \h </w:instrText>
          </w:r>
          <w:r>
            <w:rPr>
              <w:color w:val="auto"/>
            </w:rPr>
            <w:fldChar w:fldCharType="separate"/>
          </w:r>
          <w:r>
            <w:rPr>
              <w:color w:val="auto"/>
            </w:rPr>
            <w:t>54</w:t>
          </w:r>
          <w:r>
            <w:rPr>
              <w:color w:val="auto"/>
            </w:rPr>
            <w:fldChar w:fldCharType="end"/>
          </w:r>
          <w:r>
            <w:rPr>
              <w:color w:val="auto"/>
            </w:rPr>
            <w:fldChar w:fldCharType="end"/>
          </w:r>
        </w:p>
        <w:p>
          <w:pPr>
            <w:pStyle w:val="17"/>
            <w:tabs>
              <w:tab w:val="right" w:leader="dot" w:pos="9016"/>
            </w:tabs>
            <w:ind w:firstLine="220" w:firstLineChars="100"/>
            <w:rPr>
              <w:rFonts w:cstheme="minorBidi"/>
              <w:color w:val="auto"/>
              <w:kern w:val="2"/>
              <w:sz w:val="21"/>
            </w:rPr>
          </w:pPr>
          <w:r>
            <w:rPr>
              <w:color w:val="auto"/>
            </w:rPr>
            <w:fldChar w:fldCharType="begin"/>
          </w:r>
          <w:r>
            <w:rPr>
              <w:color w:val="auto"/>
            </w:rPr>
            <w:instrText xml:space="preserve"> HYPERLINK \l "_Toc77261219" </w:instrText>
          </w:r>
          <w:r>
            <w:rPr>
              <w:color w:val="auto"/>
            </w:rPr>
            <w:fldChar w:fldCharType="separate"/>
          </w:r>
          <w:r>
            <w:rPr>
              <w:rStyle w:val="24"/>
              <w:rFonts w:ascii="Times New Roman" w:hAnsi="Times New Roman" w:eastAsia="楷体_GB2312"/>
              <w:snapToGrid w:val="0"/>
              <w:color w:val="auto"/>
            </w:rPr>
            <w:t>第一节 强化组织领导</w:t>
          </w:r>
          <w:r>
            <w:rPr>
              <w:color w:val="auto"/>
            </w:rPr>
            <w:tab/>
          </w:r>
          <w:r>
            <w:rPr>
              <w:color w:val="auto"/>
            </w:rPr>
            <w:fldChar w:fldCharType="begin"/>
          </w:r>
          <w:r>
            <w:rPr>
              <w:color w:val="auto"/>
            </w:rPr>
            <w:instrText xml:space="preserve"> PAGEREF _Toc77261219 \h </w:instrText>
          </w:r>
          <w:r>
            <w:rPr>
              <w:color w:val="auto"/>
            </w:rPr>
            <w:fldChar w:fldCharType="separate"/>
          </w:r>
          <w:r>
            <w:rPr>
              <w:color w:val="auto"/>
            </w:rPr>
            <w:t>54</w:t>
          </w:r>
          <w:r>
            <w:rPr>
              <w:color w:val="auto"/>
            </w:rPr>
            <w:fldChar w:fldCharType="end"/>
          </w:r>
          <w:r>
            <w:rPr>
              <w:color w:val="auto"/>
            </w:rPr>
            <w:fldChar w:fldCharType="end"/>
          </w:r>
        </w:p>
        <w:p>
          <w:pPr>
            <w:pStyle w:val="17"/>
            <w:tabs>
              <w:tab w:val="right" w:leader="dot" w:pos="9016"/>
            </w:tabs>
            <w:ind w:firstLine="220" w:firstLineChars="100"/>
            <w:rPr>
              <w:rFonts w:cstheme="minorBidi"/>
              <w:color w:val="auto"/>
              <w:kern w:val="2"/>
              <w:sz w:val="21"/>
            </w:rPr>
          </w:pPr>
          <w:r>
            <w:rPr>
              <w:color w:val="auto"/>
            </w:rPr>
            <w:fldChar w:fldCharType="begin"/>
          </w:r>
          <w:r>
            <w:rPr>
              <w:color w:val="auto"/>
            </w:rPr>
            <w:instrText xml:space="preserve"> HYPERLINK \l "_Toc77261220" </w:instrText>
          </w:r>
          <w:r>
            <w:rPr>
              <w:color w:val="auto"/>
            </w:rPr>
            <w:fldChar w:fldCharType="separate"/>
          </w:r>
          <w:r>
            <w:rPr>
              <w:rStyle w:val="24"/>
              <w:rFonts w:ascii="Times New Roman" w:hAnsi="Times New Roman" w:eastAsia="楷体_GB2312"/>
              <w:snapToGrid w:val="0"/>
              <w:color w:val="auto"/>
            </w:rPr>
            <w:t>第二节  落实责任分工</w:t>
          </w:r>
          <w:r>
            <w:rPr>
              <w:color w:val="auto"/>
            </w:rPr>
            <w:tab/>
          </w:r>
          <w:r>
            <w:rPr>
              <w:color w:val="auto"/>
            </w:rPr>
            <w:fldChar w:fldCharType="begin"/>
          </w:r>
          <w:r>
            <w:rPr>
              <w:color w:val="auto"/>
            </w:rPr>
            <w:instrText xml:space="preserve"> PAGEREF _Toc77261220 \h </w:instrText>
          </w:r>
          <w:r>
            <w:rPr>
              <w:color w:val="auto"/>
            </w:rPr>
            <w:fldChar w:fldCharType="separate"/>
          </w:r>
          <w:r>
            <w:rPr>
              <w:color w:val="auto"/>
            </w:rPr>
            <w:t>55</w:t>
          </w:r>
          <w:r>
            <w:rPr>
              <w:color w:val="auto"/>
            </w:rPr>
            <w:fldChar w:fldCharType="end"/>
          </w:r>
          <w:r>
            <w:rPr>
              <w:color w:val="auto"/>
            </w:rPr>
            <w:fldChar w:fldCharType="end"/>
          </w:r>
        </w:p>
        <w:p>
          <w:pPr>
            <w:pStyle w:val="17"/>
            <w:tabs>
              <w:tab w:val="right" w:leader="dot" w:pos="9016"/>
            </w:tabs>
            <w:ind w:firstLine="220" w:firstLineChars="100"/>
            <w:rPr>
              <w:rFonts w:cstheme="minorBidi"/>
              <w:color w:val="auto"/>
              <w:kern w:val="2"/>
              <w:sz w:val="21"/>
            </w:rPr>
          </w:pPr>
          <w:r>
            <w:rPr>
              <w:color w:val="auto"/>
            </w:rPr>
            <w:fldChar w:fldCharType="begin"/>
          </w:r>
          <w:r>
            <w:rPr>
              <w:color w:val="auto"/>
            </w:rPr>
            <w:instrText xml:space="preserve"> HYPERLINK \l "_Toc77261221" </w:instrText>
          </w:r>
          <w:r>
            <w:rPr>
              <w:color w:val="auto"/>
            </w:rPr>
            <w:fldChar w:fldCharType="separate"/>
          </w:r>
          <w:r>
            <w:rPr>
              <w:rStyle w:val="24"/>
              <w:rFonts w:ascii="Times New Roman" w:hAnsi="Times New Roman" w:eastAsia="楷体_GB2312"/>
              <w:snapToGrid w:val="0"/>
              <w:color w:val="auto"/>
            </w:rPr>
            <w:t>第三节 做好资金保障</w:t>
          </w:r>
          <w:r>
            <w:rPr>
              <w:color w:val="auto"/>
            </w:rPr>
            <w:tab/>
          </w:r>
          <w:r>
            <w:rPr>
              <w:color w:val="auto"/>
            </w:rPr>
            <w:fldChar w:fldCharType="begin"/>
          </w:r>
          <w:r>
            <w:rPr>
              <w:color w:val="auto"/>
            </w:rPr>
            <w:instrText xml:space="preserve"> PAGEREF _Toc77261221 \h </w:instrText>
          </w:r>
          <w:r>
            <w:rPr>
              <w:color w:val="auto"/>
            </w:rPr>
            <w:fldChar w:fldCharType="separate"/>
          </w:r>
          <w:r>
            <w:rPr>
              <w:color w:val="auto"/>
            </w:rPr>
            <w:t>55</w:t>
          </w:r>
          <w:r>
            <w:rPr>
              <w:color w:val="auto"/>
            </w:rPr>
            <w:fldChar w:fldCharType="end"/>
          </w:r>
          <w:r>
            <w:rPr>
              <w:color w:val="auto"/>
            </w:rPr>
            <w:fldChar w:fldCharType="end"/>
          </w:r>
        </w:p>
        <w:p>
          <w:pPr>
            <w:pStyle w:val="17"/>
            <w:tabs>
              <w:tab w:val="right" w:leader="dot" w:pos="9016"/>
            </w:tabs>
            <w:ind w:firstLine="220" w:firstLineChars="100"/>
            <w:rPr>
              <w:rFonts w:cstheme="minorBidi"/>
              <w:color w:val="auto"/>
              <w:kern w:val="2"/>
              <w:sz w:val="21"/>
            </w:rPr>
          </w:pPr>
          <w:r>
            <w:rPr>
              <w:color w:val="auto"/>
            </w:rPr>
            <w:fldChar w:fldCharType="begin"/>
          </w:r>
          <w:r>
            <w:rPr>
              <w:color w:val="auto"/>
            </w:rPr>
            <w:instrText xml:space="preserve"> HYPERLINK \l "_Toc77261222" </w:instrText>
          </w:r>
          <w:r>
            <w:rPr>
              <w:color w:val="auto"/>
            </w:rPr>
            <w:fldChar w:fldCharType="separate"/>
          </w:r>
          <w:r>
            <w:rPr>
              <w:rStyle w:val="24"/>
              <w:rFonts w:ascii="Times New Roman" w:hAnsi="Times New Roman" w:eastAsia="楷体_GB2312"/>
              <w:snapToGrid w:val="0"/>
              <w:color w:val="auto"/>
            </w:rPr>
            <w:t>第四节 强化监测评估</w:t>
          </w:r>
          <w:r>
            <w:rPr>
              <w:color w:val="auto"/>
            </w:rPr>
            <w:tab/>
          </w:r>
          <w:r>
            <w:rPr>
              <w:color w:val="auto"/>
            </w:rPr>
            <w:fldChar w:fldCharType="begin"/>
          </w:r>
          <w:r>
            <w:rPr>
              <w:color w:val="auto"/>
            </w:rPr>
            <w:instrText xml:space="preserve"> PAGEREF _Toc77261222 \h </w:instrText>
          </w:r>
          <w:r>
            <w:rPr>
              <w:color w:val="auto"/>
            </w:rPr>
            <w:fldChar w:fldCharType="separate"/>
          </w:r>
          <w:r>
            <w:rPr>
              <w:color w:val="auto"/>
            </w:rPr>
            <w:t>55</w:t>
          </w:r>
          <w:r>
            <w:rPr>
              <w:color w:val="auto"/>
            </w:rPr>
            <w:fldChar w:fldCharType="end"/>
          </w:r>
          <w:r>
            <w:rPr>
              <w:color w:val="auto"/>
            </w:rPr>
            <w:fldChar w:fldCharType="end"/>
          </w:r>
        </w:p>
        <w:p>
          <w:pPr>
            <w:rPr>
              <w:rFonts w:ascii="黑体" w:hAnsi="黑体" w:eastAsia="黑体"/>
              <w:snapToGrid w:val="0"/>
              <w:color w:val="auto"/>
              <w:kern w:val="0"/>
              <w:sz w:val="44"/>
              <w:szCs w:val="44"/>
            </w:rPr>
            <w:sectPr>
              <w:footerReference r:id="rId4" w:type="default"/>
              <w:pgSz w:w="11906" w:h="16838"/>
              <w:pgMar w:top="1440" w:right="1440" w:bottom="1440" w:left="1440" w:header="851" w:footer="992" w:gutter="0"/>
              <w:pgNumType w:fmt="decimal" w:chapStyle="1" w:chapSep="emDash"/>
              <w:cols w:space="425" w:num="1"/>
              <w:docGrid w:type="lines" w:linePitch="312" w:charSpace="0"/>
            </w:sectPr>
          </w:pPr>
          <w:r>
            <w:rPr>
              <w:b/>
              <w:bCs/>
              <w:color w:val="auto"/>
              <w:lang w:val="zh-CN"/>
            </w:rPr>
            <w:fldChar w:fldCharType="end"/>
          </w:r>
        </w:p>
      </w:sdtContent>
    </w:sdt>
    <w:p>
      <w:pPr>
        <w:adjustRightInd w:val="0"/>
        <w:snapToGrid w:val="0"/>
        <w:spacing w:line="530" w:lineRule="exact"/>
        <w:jc w:val="both"/>
        <w:rPr>
          <w:rFonts w:ascii="黑体" w:hAnsi="黑体" w:eastAsia="黑体"/>
          <w:snapToGrid w:val="0"/>
          <w:color w:val="auto"/>
          <w:kern w:val="0"/>
          <w:sz w:val="44"/>
          <w:szCs w:val="44"/>
        </w:rPr>
      </w:pPr>
    </w:p>
    <w:p>
      <w:pPr>
        <w:adjustRightInd w:val="0"/>
        <w:snapToGrid w:val="0"/>
        <w:spacing w:line="530" w:lineRule="exact"/>
        <w:ind w:firstLine="360" w:firstLineChars="100"/>
        <w:jc w:val="center"/>
        <w:rPr>
          <w:rFonts w:hint="eastAsia" w:ascii="Times New Roman" w:hAnsi="Times New Roman" w:eastAsia="方正小标宋简体" w:cs="Times New Roman"/>
          <w:b w:val="0"/>
          <w:bCs w:val="0"/>
          <w:color w:val="auto"/>
          <w:kern w:val="44"/>
          <w:sz w:val="36"/>
          <w:szCs w:val="20"/>
          <w:u w:val="none"/>
          <w:lang w:val="en-US" w:eastAsia="zh-CN" w:bidi="ar-SA"/>
        </w:rPr>
      </w:pPr>
      <w:r>
        <w:rPr>
          <w:rFonts w:hint="eastAsia" w:ascii="Times New Roman" w:hAnsi="Times New Roman" w:eastAsia="方正小标宋简体" w:cs="Times New Roman"/>
          <w:b w:val="0"/>
          <w:bCs w:val="0"/>
          <w:color w:val="auto"/>
          <w:kern w:val="44"/>
          <w:sz w:val="36"/>
          <w:szCs w:val="20"/>
          <w:u w:val="none"/>
          <w:lang w:val="en-US" w:eastAsia="zh-CN" w:bidi="ar-SA"/>
        </w:rPr>
        <w:t>乐山市市场监管现代化“十四五”规划</w:t>
      </w:r>
    </w:p>
    <w:p>
      <w:pPr>
        <w:adjustRightInd w:val="0"/>
        <w:snapToGrid w:val="0"/>
        <w:spacing w:line="600" w:lineRule="exact"/>
        <w:ind w:firstLine="640"/>
        <w:jc w:val="center"/>
        <w:rPr>
          <w:rFonts w:hint="eastAsia" w:ascii="楷体_GB2312" w:hAnsi="楷体_GB2312" w:eastAsia="楷体_GB2312" w:cs="楷体_GB2312"/>
          <w:color w:val="auto"/>
          <w:sz w:val="30"/>
          <w:szCs w:val="30"/>
        </w:rPr>
      </w:pPr>
      <w:r>
        <w:rPr>
          <w:rFonts w:hint="eastAsia" w:ascii="楷体_GB2312" w:hAnsi="楷体_GB2312" w:eastAsia="楷体_GB2312" w:cs="楷体_GB2312"/>
          <w:color w:val="auto"/>
          <w:sz w:val="30"/>
          <w:szCs w:val="30"/>
        </w:rPr>
        <w:t>（</w:t>
      </w:r>
      <w:r>
        <w:rPr>
          <w:rFonts w:hint="eastAsia" w:ascii="楷体_GB2312" w:hAnsi="楷体_GB2312" w:eastAsia="楷体_GB2312" w:cs="楷体_GB2312"/>
          <w:color w:val="auto"/>
          <w:sz w:val="30"/>
          <w:szCs w:val="30"/>
          <w:lang w:eastAsia="zh-CN"/>
        </w:rPr>
        <w:t>征求意见稿</w:t>
      </w:r>
      <w:bookmarkStart w:id="68" w:name="_GoBack"/>
      <w:bookmarkEnd w:id="68"/>
      <w:r>
        <w:rPr>
          <w:rFonts w:hint="eastAsia" w:ascii="楷体_GB2312" w:hAnsi="楷体_GB2312" w:eastAsia="楷体_GB2312" w:cs="楷体_GB2312"/>
          <w:color w:val="auto"/>
          <w:sz w:val="30"/>
          <w:szCs w:val="30"/>
        </w:rPr>
        <w:t>）</w:t>
      </w:r>
    </w:p>
    <w:p>
      <w:pPr>
        <w:pStyle w:val="17"/>
        <w:ind w:firstLine="643"/>
        <w:jc w:val="both"/>
        <w:rPr>
          <w:color w:val="auto"/>
        </w:rPr>
      </w:pPr>
    </w:p>
    <w:p>
      <w:pPr>
        <w:pStyle w:val="36"/>
        <w:ind w:firstLine="640"/>
        <w:rPr>
          <w:rFonts w:ascii="仿宋_GB2312" w:eastAsia="仿宋_GB2312"/>
          <w:color w:val="auto"/>
        </w:rPr>
      </w:pPr>
      <w:r>
        <w:rPr>
          <w:rFonts w:hint="eastAsia" w:ascii="仿宋_GB2312" w:eastAsia="仿宋_GB2312"/>
          <w:color w:val="auto"/>
        </w:rPr>
        <w:t>“十四五”时期是我国全面建成小康社会、实现第一个百年奋斗目标之后，乘势而上开启全面建设社会主义现代化国家新征程、向第二个百年奋斗目标进军的第一个五年。为主动适应国内外发展环境和条件的深刻变化，积极践行“新发展理念”的时代需求，全面掌握“新发展阶段”的历史特性，主动担当“新发展格局”的重要使命，全面推进我市市场监管体系和监管能力现代化，营造市场化、法治化、国际化营商环境，大力推动我市建设高标准市场体系，为服务乐山经济社会高质量发展提供良好市场环境，根据《乐山市国民经济和社会发展第十四个五年规划和二</w:t>
      </w:r>
      <w:r>
        <w:rPr>
          <w:rFonts w:hint="eastAsia" w:ascii="微软雅黑" w:hAnsi="微软雅黑" w:eastAsia="微软雅黑" w:cs="微软雅黑"/>
          <w:color w:val="auto"/>
        </w:rPr>
        <w:t>〇</w:t>
      </w:r>
      <w:r>
        <w:rPr>
          <w:rFonts w:hint="eastAsia" w:ascii="仿宋_GB2312" w:hAnsi="仿宋_GB2312" w:eastAsia="仿宋_GB2312" w:cs="仿宋_GB2312"/>
          <w:color w:val="auto"/>
        </w:rPr>
        <w:t>三五年</w:t>
      </w:r>
      <w:r>
        <w:rPr>
          <w:rFonts w:hint="eastAsia" w:ascii="仿宋_GB2312" w:eastAsia="仿宋_GB2312"/>
          <w:color w:val="auto"/>
        </w:rPr>
        <w:t>远景目标纲要》和</w:t>
      </w:r>
      <w:r>
        <w:rPr>
          <w:rFonts w:hint="eastAsia" w:ascii="仿宋_GB2312" w:eastAsia="仿宋_GB2312"/>
          <w:color w:val="auto"/>
          <w:lang w:eastAsia="zh-CN"/>
        </w:rPr>
        <w:t>国家市场监管总局、</w:t>
      </w:r>
      <w:r>
        <w:rPr>
          <w:rFonts w:hint="eastAsia" w:ascii="仿宋_GB2312" w:eastAsia="仿宋_GB2312"/>
          <w:color w:val="auto"/>
        </w:rPr>
        <w:t>省市场监管局</w:t>
      </w:r>
      <w:r>
        <w:rPr>
          <w:rFonts w:hint="eastAsia" w:ascii="仿宋_GB2312" w:eastAsia="仿宋_GB2312"/>
          <w:color w:val="auto"/>
          <w:lang w:eastAsia="zh-CN"/>
        </w:rPr>
        <w:t>及</w:t>
      </w:r>
      <w:r>
        <w:rPr>
          <w:rFonts w:hint="eastAsia" w:ascii="仿宋_GB2312" w:eastAsia="仿宋_GB2312"/>
          <w:color w:val="auto"/>
        </w:rPr>
        <w:t>省</w:t>
      </w:r>
      <w:r>
        <w:rPr>
          <w:rFonts w:hint="eastAsia" w:ascii="仿宋_GB2312" w:eastAsia="仿宋_GB2312"/>
          <w:color w:val="auto"/>
          <w:lang w:eastAsia="zh-CN"/>
        </w:rPr>
        <w:t>药品监督管理局的有关部署</w:t>
      </w:r>
      <w:r>
        <w:rPr>
          <w:rFonts w:hint="eastAsia" w:ascii="仿宋_GB2312" w:eastAsia="仿宋_GB2312"/>
          <w:color w:val="auto"/>
        </w:rPr>
        <w:t>编制本规划。</w:t>
      </w:r>
    </w:p>
    <w:p>
      <w:pPr>
        <w:pStyle w:val="3"/>
        <w:rPr>
          <w:rFonts w:ascii="Times New Roman" w:hAnsi="Times New Roman" w:eastAsia="黑体" w:cs="Times New Roman"/>
          <w:color w:val="auto"/>
          <w:kern w:val="0"/>
          <w:sz w:val="32"/>
          <w:szCs w:val="32"/>
        </w:rPr>
      </w:pPr>
      <w:bookmarkStart w:id="0" w:name="_Toc77261174"/>
      <w:r>
        <w:rPr>
          <w:rFonts w:ascii="Times New Roman" w:hAnsi="Times New Roman" w:eastAsia="黑体" w:cs="Times New Roman"/>
          <w:color w:val="auto"/>
          <w:kern w:val="0"/>
          <w:sz w:val="32"/>
          <w:szCs w:val="32"/>
        </w:rPr>
        <w:t>第一章  “十</w:t>
      </w:r>
      <w:r>
        <w:rPr>
          <w:rFonts w:hint="eastAsia" w:ascii="Times New Roman" w:hAnsi="Times New Roman" w:eastAsia="黑体" w:cs="Times New Roman"/>
          <w:color w:val="auto"/>
          <w:kern w:val="0"/>
          <w:sz w:val="32"/>
          <w:szCs w:val="32"/>
        </w:rPr>
        <w:t>三</w:t>
      </w:r>
      <w:r>
        <w:rPr>
          <w:rFonts w:ascii="Times New Roman" w:hAnsi="Times New Roman" w:eastAsia="黑体" w:cs="Times New Roman"/>
          <w:color w:val="auto"/>
          <w:kern w:val="0"/>
          <w:sz w:val="32"/>
          <w:szCs w:val="32"/>
        </w:rPr>
        <w:t>五”时期</w:t>
      </w:r>
      <w:r>
        <w:rPr>
          <w:rFonts w:hint="eastAsia" w:ascii="Times New Roman" w:hAnsi="Times New Roman" w:eastAsia="黑体" w:cs="Times New Roman"/>
          <w:color w:val="auto"/>
          <w:kern w:val="0"/>
          <w:sz w:val="32"/>
          <w:szCs w:val="32"/>
        </w:rPr>
        <w:t>成效</w:t>
      </w:r>
      <w:r>
        <w:rPr>
          <w:rFonts w:ascii="Times New Roman" w:hAnsi="Times New Roman" w:eastAsia="黑体" w:cs="Times New Roman"/>
          <w:color w:val="auto"/>
          <w:kern w:val="0"/>
          <w:sz w:val="32"/>
          <w:szCs w:val="32"/>
        </w:rPr>
        <w:t>和“十</w:t>
      </w:r>
      <w:r>
        <w:rPr>
          <w:rFonts w:hint="eastAsia" w:ascii="Times New Roman" w:hAnsi="Times New Roman" w:eastAsia="黑体" w:cs="Times New Roman"/>
          <w:color w:val="auto"/>
          <w:kern w:val="0"/>
          <w:sz w:val="32"/>
          <w:szCs w:val="32"/>
        </w:rPr>
        <w:t>四</w:t>
      </w:r>
      <w:r>
        <w:rPr>
          <w:rFonts w:ascii="Times New Roman" w:hAnsi="Times New Roman" w:eastAsia="黑体" w:cs="Times New Roman"/>
          <w:color w:val="auto"/>
          <w:kern w:val="0"/>
          <w:sz w:val="32"/>
          <w:szCs w:val="32"/>
        </w:rPr>
        <w:t>五”时期发展形势</w:t>
      </w:r>
      <w:bookmarkEnd w:id="0"/>
    </w:p>
    <w:p>
      <w:pPr>
        <w:pStyle w:val="5"/>
        <w:spacing w:after="0"/>
        <w:jc w:val="center"/>
        <w:rPr>
          <w:rFonts w:ascii="Times New Roman" w:hAnsi="Times New Roman" w:eastAsia="楷体_GB2312" w:cs="Times New Roman"/>
          <w:color w:val="auto"/>
          <w:kern w:val="0"/>
        </w:rPr>
      </w:pPr>
      <w:bookmarkStart w:id="1" w:name="_Toc77261175"/>
      <w:r>
        <w:rPr>
          <w:rFonts w:hint="eastAsia" w:ascii="Times New Roman" w:hAnsi="Times New Roman" w:eastAsia="楷体_GB2312" w:cs="Times New Roman"/>
          <w:color w:val="auto"/>
          <w:kern w:val="0"/>
        </w:rPr>
        <w:t xml:space="preserve">第一节 </w:t>
      </w:r>
      <w:r>
        <w:rPr>
          <w:rFonts w:ascii="Times New Roman" w:hAnsi="Times New Roman" w:eastAsia="楷体_GB2312" w:cs="Times New Roman"/>
          <w:color w:val="auto"/>
          <w:kern w:val="0"/>
        </w:rPr>
        <w:t xml:space="preserve"> </w:t>
      </w:r>
      <w:r>
        <w:rPr>
          <w:rFonts w:hint="eastAsia" w:ascii="Times New Roman" w:hAnsi="Times New Roman" w:eastAsia="楷体_GB2312" w:cs="Times New Roman"/>
          <w:color w:val="auto"/>
          <w:kern w:val="0"/>
        </w:rPr>
        <w:t>“十三五”取得的成效</w:t>
      </w:r>
      <w:bookmarkEnd w:id="1"/>
    </w:p>
    <w:p>
      <w:pPr>
        <w:overflowPunct w:val="0"/>
        <w:spacing w:line="579" w:lineRule="exact"/>
        <w:ind w:firstLine="640" w:firstLineChars="200"/>
        <w:textAlignment w:val="baseline"/>
        <w:rPr>
          <w:rFonts w:ascii="仿宋_GB2312" w:hAnsi="仿宋_GB2312" w:eastAsia="仿宋_GB2312" w:cs="仿宋_GB2312"/>
          <w:color w:val="auto"/>
        </w:rPr>
      </w:pPr>
      <w:r>
        <w:rPr>
          <w:rFonts w:hint="eastAsia" w:ascii="仿宋_GB2312" w:hAnsi="仿宋_GB2312" w:eastAsia="仿宋_GB2312" w:cs="仿宋_GB2312"/>
          <w:color w:val="auto"/>
          <w:sz w:val="32"/>
          <w:szCs w:val="32"/>
        </w:rPr>
        <w:t>“十三五”时期，是市</w:t>
      </w:r>
      <w:r>
        <w:rPr>
          <w:rFonts w:hint="eastAsia" w:ascii="仿宋_GB2312" w:hAnsi="仿宋_GB2312" w:eastAsia="仿宋_GB2312" w:cs="仿宋_GB2312"/>
          <w:bCs/>
          <w:color w:val="auto"/>
          <w:sz w:val="32"/>
          <w:szCs w:val="32"/>
        </w:rPr>
        <w:t>场监管体制机制大转变、职能职责大调整、监管方式大改变的关键时期。</w:t>
      </w:r>
      <w:r>
        <w:rPr>
          <w:rFonts w:hint="eastAsia" w:ascii="仿宋_GB2312" w:hAnsi="仿宋_GB2312" w:eastAsia="仿宋_GB2312" w:cs="仿宋_GB2312"/>
          <w:color w:val="auto"/>
          <w:sz w:val="32"/>
          <w:szCs w:val="32"/>
        </w:rPr>
        <w:t>全市市场监管工作坚持以习近平新时代中国特色社会主义思想为指导，在市委、市政府的正确领导下，团结上下各方力量，克服外部环境复杂变化和新</w:t>
      </w:r>
      <w:r>
        <w:rPr>
          <w:rFonts w:hint="eastAsia" w:ascii="仿宋_GB2312" w:hAnsi="仿宋_GB2312" w:eastAsia="仿宋_GB2312" w:cs="仿宋_GB2312"/>
          <w:bCs/>
          <w:color w:val="auto"/>
          <w:sz w:val="32"/>
          <w:szCs w:val="32"/>
        </w:rPr>
        <w:t>冠肺炎疫情、特大暴雨洪涝灾害严重冲击等风险挑战，</w:t>
      </w:r>
      <w:r>
        <w:rPr>
          <w:rFonts w:hint="eastAsia" w:ascii="仿宋_GB2312" w:hAnsi="仿宋_GB2312" w:eastAsia="仿宋_GB2312" w:cs="仿宋_GB2312"/>
          <w:bCs/>
          <w:color w:val="auto"/>
          <w:sz w:val="32"/>
          <w:szCs w:val="32"/>
          <w:lang w:eastAsia="zh-CN"/>
        </w:rPr>
        <w:t>主动适应</w:t>
      </w:r>
      <w:r>
        <w:rPr>
          <w:rFonts w:hint="eastAsia" w:ascii="仿宋_GB2312" w:hAnsi="宋体" w:eastAsia="仿宋_GB2312" w:cs="宋体"/>
          <w:color w:val="auto"/>
          <w:kern w:val="0"/>
          <w:sz w:val="32"/>
          <w:szCs w:val="32"/>
        </w:rPr>
        <w:t>市场监管体制</w:t>
      </w:r>
      <w:r>
        <w:rPr>
          <w:rFonts w:hint="eastAsia" w:ascii="仿宋_GB2312" w:hAnsi="宋体" w:eastAsia="仿宋_GB2312" w:cs="宋体"/>
          <w:color w:val="auto"/>
          <w:kern w:val="0"/>
          <w:sz w:val="32"/>
          <w:szCs w:val="32"/>
          <w:lang w:eastAsia="zh-CN"/>
        </w:rPr>
        <w:t>机制</w:t>
      </w:r>
      <w:r>
        <w:rPr>
          <w:rFonts w:hint="eastAsia" w:ascii="仿宋_GB2312" w:hAnsi="宋体" w:eastAsia="仿宋_GB2312" w:cs="宋体"/>
          <w:color w:val="auto"/>
          <w:kern w:val="0"/>
          <w:sz w:val="32"/>
          <w:szCs w:val="32"/>
        </w:rPr>
        <w:t>改革，市场</w:t>
      </w:r>
      <w:r>
        <w:rPr>
          <w:rFonts w:hint="eastAsia" w:ascii="仿宋_GB2312" w:hAnsi="宋体" w:eastAsia="仿宋_GB2312" w:cs="宋体"/>
          <w:color w:val="auto"/>
          <w:kern w:val="0"/>
          <w:sz w:val="32"/>
          <w:szCs w:val="32"/>
          <w:lang w:eastAsia="zh-CN"/>
        </w:rPr>
        <w:t>准入环境、</w:t>
      </w:r>
      <w:r>
        <w:rPr>
          <w:rFonts w:hint="eastAsia" w:ascii="仿宋_GB2312" w:hAnsi="宋体" w:eastAsia="仿宋_GB2312" w:cs="宋体"/>
          <w:color w:val="auto"/>
          <w:kern w:val="0"/>
          <w:sz w:val="32"/>
          <w:szCs w:val="32"/>
        </w:rPr>
        <w:t>竞争环境、消费环境明显改善，市场监</w:t>
      </w:r>
      <w:r>
        <w:rPr>
          <w:rFonts w:hint="eastAsia" w:ascii="仿宋_GB2312" w:hAnsi="宋体" w:eastAsia="仿宋_GB2312" w:cs="宋体"/>
          <w:color w:val="auto"/>
          <w:kern w:val="0"/>
          <w:sz w:val="32"/>
          <w:szCs w:val="32"/>
          <w:lang w:eastAsia="zh-CN"/>
        </w:rPr>
        <w:t>管</w:t>
      </w:r>
      <w:r>
        <w:rPr>
          <w:rFonts w:hint="eastAsia" w:ascii="仿宋_GB2312" w:hAnsi="仿宋_GB2312" w:eastAsia="仿宋_GB2312" w:cs="仿宋_GB2312"/>
          <w:bCs/>
          <w:color w:val="auto"/>
          <w:sz w:val="32"/>
          <w:szCs w:val="32"/>
        </w:rPr>
        <w:t>服务乐山“旅游兴市、产业强市”</w:t>
      </w:r>
      <w:r>
        <w:rPr>
          <w:rFonts w:hint="eastAsia" w:ascii="仿宋_GB2312" w:hAnsi="宋体" w:eastAsia="仿宋_GB2312" w:cs="宋体"/>
          <w:color w:val="auto"/>
          <w:kern w:val="0"/>
          <w:sz w:val="32"/>
          <w:szCs w:val="32"/>
        </w:rPr>
        <w:t>的作用进一步提升，</w:t>
      </w:r>
      <w:r>
        <w:rPr>
          <w:rFonts w:hint="eastAsia" w:ascii="仿宋_GB2312" w:hAnsi="仿宋_GB2312" w:eastAsia="仿宋_GB2312" w:cs="仿宋_GB2312"/>
          <w:bCs/>
          <w:color w:val="auto"/>
          <w:sz w:val="32"/>
          <w:szCs w:val="32"/>
        </w:rPr>
        <w:t>为推进“十四五”时期乐山市场监管治理体系、治理能力现代化奠定了坚实基础</w:t>
      </w:r>
      <w:r>
        <w:rPr>
          <w:rFonts w:hint="eastAsia" w:ascii="仿宋_GB2312" w:hAnsi="仿宋_GB2312" w:eastAsia="仿宋_GB2312" w:cs="仿宋_GB2312"/>
          <w:color w:val="auto"/>
          <w:sz w:val="32"/>
          <w:szCs w:val="32"/>
        </w:rPr>
        <w:t>。</w:t>
      </w:r>
    </w:p>
    <w:p>
      <w:pPr>
        <w:pStyle w:val="36"/>
        <w:ind w:firstLine="640"/>
        <w:jc w:val="both"/>
        <w:rPr>
          <w:rFonts w:ascii="仿宋_GB2312" w:eastAsia="仿宋_GB2312"/>
          <w:color w:val="auto"/>
        </w:rPr>
      </w:pPr>
      <w:r>
        <w:rPr>
          <w:rFonts w:hint="eastAsia" w:ascii="仿宋_GB2312" w:eastAsia="仿宋_GB2312"/>
          <w:b/>
          <w:bCs/>
          <w:color w:val="auto"/>
        </w:rPr>
        <w:t>——</w:t>
      </w:r>
      <w:r>
        <w:rPr>
          <w:rFonts w:hint="eastAsia" w:ascii="仿宋_GB2312" w:eastAsia="仿宋_GB2312"/>
          <w:b/>
          <w:bCs/>
          <w:color w:val="auto"/>
          <w:lang w:eastAsia="zh-CN"/>
        </w:rPr>
        <w:t>体制改革开启新篇</w:t>
      </w:r>
      <w:r>
        <w:rPr>
          <w:rFonts w:hint="eastAsia" w:ascii="仿宋_GB2312" w:eastAsia="仿宋_GB2312"/>
          <w:b/>
          <w:bCs/>
          <w:color w:val="auto"/>
        </w:rPr>
        <w:t>。</w:t>
      </w:r>
      <w:r>
        <w:rPr>
          <w:rFonts w:hint="eastAsia" w:ascii="仿宋_GB2312" w:eastAsia="仿宋_GB2312"/>
          <w:color w:val="auto"/>
        </w:rPr>
        <w:t>深入推进市场监管体制改革，整合了原工商、原质监、原食品药品监管三个部门及知识产权、价监、反垄断三大版块职能，“十三五”期间，组建了新的市场监管部门，市、县市场监管综合执法改革全部到位，初步形成覆盖生产、流通、消费环节的“大市场”监管新格局。深入推进法治建设，顺利通过法治政府建设五年评估检查、全面依法治市暨七五普法总结验收。成立了全市首批公职律师团队，不断健全“两法”衔接机制，切实提高依法行政水平。深入推动科技赋能市场监管，“十三五”期间，市食药检测中心、市计量所、市特检所、市质检所、市知识产权服务促进中心等下属机构科技水平明显提升。</w:t>
      </w:r>
    </w:p>
    <w:p>
      <w:pPr>
        <w:pStyle w:val="36"/>
        <w:ind w:firstLine="640"/>
        <w:jc w:val="both"/>
        <w:rPr>
          <w:rFonts w:hint="eastAsia" w:ascii="仿宋_GB2312" w:eastAsia="仿宋_GB2312"/>
          <w:color w:val="auto"/>
        </w:rPr>
      </w:pPr>
      <w:r>
        <w:rPr>
          <w:rFonts w:hint="eastAsia" w:ascii="仿宋_GB2312" w:eastAsia="仿宋_GB2312"/>
          <w:b/>
          <w:bCs/>
          <w:color w:val="auto"/>
        </w:rPr>
        <w:t>——市场</w:t>
      </w:r>
      <w:r>
        <w:rPr>
          <w:rFonts w:hint="eastAsia" w:ascii="仿宋_GB2312" w:eastAsia="仿宋_GB2312"/>
          <w:b/>
          <w:bCs/>
          <w:color w:val="auto"/>
          <w:lang w:eastAsia="zh-CN"/>
        </w:rPr>
        <w:t>活力有效激发</w:t>
      </w:r>
      <w:r>
        <w:rPr>
          <w:rFonts w:hint="eastAsia" w:ascii="仿宋_GB2312" w:eastAsia="仿宋_GB2312"/>
          <w:b/>
          <w:bCs/>
          <w:color w:val="auto"/>
        </w:rPr>
        <w:t>。</w:t>
      </w:r>
      <w:r>
        <w:rPr>
          <w:rFonts w:hint="eastAsia" w:ascii="仿宋_GB2312" w:eastAsia="仿宋_GB2312"/>
          <w:b w:val="0"/>
          <w:bCs w:val="0"/>
          <w:color w:val="auto"/>
          <w:lang w:eastAsia="zh-CN"/>
        </w:rPr>
        <w:t>紧扣</w:t>
      </w:r>
      <w:r>
        <w:rPr>
          <w:rFonts w:hint="eastAsia" w:ascii="仿宋_GB2312" w:eastAsia="仿宋_GB2312"/>
          <w:color w:val="auto"/>
        </w:rPr>
        <w:t>“放管服”改革，以商事制度改革为抓手，积极打造稳定公平透明、可预期的营商环境新高地。全面实施注册资本认缴登记制,取消了原公司登记对注册资本的限制。实行“一照多址、一址多照”，进一步放宽市场主体住所（经营场所）登记条件。深入实施“多证合一”、“先照后证”改革，探索“证照分离”改革，实行“网上办、预约办、邮寄办”,推行企业全程电子化登记、简易注销等便利化登记服务，企业开办时间压缩至1天</w:t>
      </w:r>
      <w:r>
        <w:rPr>
          <w:rFonts w:hint="eastAsia" w:ascii="仿宋_GB2312" w:eastAsia="仿宋_GB2312"/>
          <w:color w:val="auto"/>
          <w:lang w:eastAsia="zh-CN"/>
        </w:rPr>
        <w:t>，</w:t>
      </w:r>
      <w:r>
        <w:rPr>
          <w:rFonts w:hint="eastAsia" w:ascii="仿宋_GB2312" w:eastAsia="仿宋_GB2312"/>
          <w:color w:val="auto"/>
        </w:rPr>
        <w:t>有力激发</w:t>
      </w:r>
      <w:r>
        <w:rPr>
          <w:rFonts w:hint="eastAsia" w:ascii="仿宋_GB2312" w:eastAsia="仿宋_GB2312"/>
          <w:color w:val="auto"/>
          <w:lang w:eastAsia="zh-CN"/>
        </w:rPr>
        <w:t>了</w:t>
      </w:r>
      <w:r>
        <w:rPr>
          <w:rFonts w:hint="eastAsia" w:ascii="仿宋_GB2312" w:eastAsia="仿宋_GB2312"/>
          <w:color w:val="auto"/>
        </w:rPr>
        <w:t>市场创新创业活力。市场主体从“十二五”末的9.3万户，增加到“十三五”的19.5万户，同</w:t>
      </w:r>
      <w:r>
        <w:rPr>
          <w:rFonts w:hint="eastAsia" w:ascii="仿宋_GB2312" w:eastAsia="仿宋_GB2312"/>
          <w:color w:val="auto"/>
          <w:lang w:eastAsia="zh-CN"/>
        </w:rPr>
        <w:t>比</w:t>
      </w:r>
      <w:r>
        <w:rPr>
          <w:rFonts w:hint="eastAsia" w:ascii="仿宋_GB2312" w:eastAsia="仿宋_GB2312"/>
          <w:color w:val="auto"/>
        </w:rPr>
        <w:t>增长209.68%。</w:t>
      </w:r>
    </w:p>
    <w:p>
      <w:pPr>
        <w:pStyle w:val="36"/>
        <w:ind w:firstLine="640"/>
        <w:jc w:val="left"/>
        <w:rPr>
          <w:rFonts w:hint="eastAsia" w:ascii="仿宋_GB2312" w:hAnsi="仿宋_GB2312" w:eastAsia="仿宋_GB2312" w:cs="仿宋_GB2312"/>
          <w:bCs/>
          <w:color w:val="auto"/>
          <w:lang w:eastAsia="zh-CN"/>
        </w:rPr>
      </w:pPr>
      <w:bookmarkStart w:id="2" w:name="_Hlk76655123"/>
      <w:r>
        <w:rPr>
          <w:rFonts w:hint="eastAsia" w:ascii="仿宋_GB2312" w:eastAsia="仿宋_GB2312"/>
          <w:b/>
          <w:bCs/>
          <w:color w:val="auto"/>
        </w:rPr>
        <w:t>——质量强市</w:t>
      </w:r>
      <w:bookmarkEnd w:id="2"/>
      <w:r>
        <w:rPr>
          <w:rFonts w:hint="eastAsia" w:ascii="仿宋_GB2312" w:eastAsia="仿宋_GB2312"/>
          <w:b/>
          <w:bCs/>
          <w:color w:val="auto"/>
        </w:rPr>
        <w:t>迈上台阶。</w:t>
      </w:r>
      <w:r>
        <w:rPr>
          <w:rFonts w:hint="eastAsia" w:ascii="仿宋_GB2312" w:hAnsi="仿宋_GB2312" w:eastAsia="仿宋_GB2312" w:cs="仿宋_GB2312"/>
          <w:bCs/>
          <w:color w:val="auto"/>
        </w:rPr>
        <w:t>开展“全国质量强市示范城市”创建，</w:t>
      </w:r>
      <w:r>
        <w:rPr>
          <w:rStyle w:val="37"/>
          <w:rFonts w:hint="eastAsia" w:ascii="仿宋_GB2312" w:hAnsi="仿宋_GB2312" w:eastAsia="仿宋_GB2312" w:cs="仿宋_GB2312"/>
          <w:color w:val="auto"/>
        </w:rPr>
        <w:t>将政府质量奖纳入市政府表彰项目予以规范，强化质量</w:t>
      </w:r>
      <w:r>
        <w:rPr>
          <w:rStyle w:val="37"/>
          <w:rFonts w:hint="eastAsia" w:ascii="仿宋_GB2312" w:hAnsi="仿宋_GB2312" w:eastAsia="仿宋_GB2312" w:cs="仿宋_GB2312"/>
          <w:color w:val="auto"/>
          <w:lang w:eastAsia="zh-CN"/>
        </w:rPr>
        <w:t>考核、</w:t>
      </w:r>
      <w:r>
        <w:rPr>
          <w:rStyle w:val="37"/>
          <w:rFonts w:hint="eastAsia" w:ascii="仿宋_GB2312" w:hAnsi="仿宋_GB2312" w:eastAsia="仿宋_GB2312" w:cs="仿宋_GB2312"/>
          <w:color w:val="auto"/>
        </w:rPr>
        <w:t>激励</w:t>
      </w:r>
      <w:r>
        <w:rPr>
          <w:rFonts w:hint="eastAsia" w:ascii="仿宋_GB2312" w:hAnsi="仿宋_GB2312" w:eastAsia="仿宋_GB2312" w:cs="仿宋_GB2312"/>
          <w:bCs/>
          <w:color w:val="auto"/>
        </w:rPr>
        <w:t>，</w:t>
      </w:r>
      <w:r>
        <w:rPr>
          <w:rStyle w:val="37"/>
          <w:rFonts w:hint="eastAsia" w:ascii="仿宋_GB2312" w:hAnsi="仿宋_GB2312" w:eastAsia="仿宋_GB2312" w:cs="仿宋_GB2312"/>
          <w:color w:val="auto"/>
        </w:rPr>
        <w:t>打造</w:t>
      </w:r>
      <w:r>
        <w:rPr>
          <w:rStyle w:val="37"/>
          <w:rFonts w:hint="eastAsia" w:ascii="仿宋_GB2312" w:hAnsi="仿宋_GB2312" w:eastAsia="仿宋_GB2312" w:cs="仿宋_GB2312"/>
          <w:color w:val="auto"/>
          <w:lang w:eastAsia="zh-CN"/>
        </w:rPr>
        <w:t>大质量工作格局</w:t>
      </w:r>
      <w:r>
        <w:rPr>
          <w:rStyle w:val="37"/>
          <w:rFonts w:hint="eastAsia" w:ascii="仿宋_GB2312" w:hAnsi="仿宋_GB2312" w:eastAsia="仿宋_GB2312" w:cs="仿宋_GB2312"/>
          <w:color w:val="auto"/>
        </w:rPr>
        <w:t>。</w:t>
      </w:r>
      <w:r>
        <w:rPr>
          <w:rFonts w:hint="eastAsia" w:ascii="仿宋_GB2312" w:hAnsi="仿宋_GB2312" w:eastAsia="仿宋_GB2312" w:cs="仿宋_GB2312"/>
          <w:bCs/>
          <w:color w:val="auto"/>
        </w:rPr>
        <w:t>“十三五”期间，主导、参与制定国际标准2项、国家标准</w:t>
      </w:r>
      <w:r>
        <w:rPr>
          <w:rFonts w:hint="eastAsia" w:ascii="仿宋_GB2312" w:hAnsi="仿宋_GB2312" w:eastAsia="仿宋_GB2312" w:cs="仿宋_GB2312"/>
          <w:bCs/>
          <w:color w:val="auto"/>
          <w:lang w:val="en-US" w:eastAsia="zh-CN"/>
        </w:rPr>
        <w:t>15</w:t>
      </w:r>
      <w:r>
        <w:rPr>
          <w:rFonts w:hint="eastAsia" w:ascii="仿宋_GB2312" w:hAnsi="仿宋_GB2312" w:eastAsia="仿宋_GB2312" w:cs="仿宋_GB2312"/>
          <w:bCs/>
          <w:color w:val="auto"/>
        </w:rPr>
        <w:t>项、行业标准</w:t>
      </w:r>
      <w:r>
        <w:rPr>
          <w:rFonts w:hint="eastAsia" w:ascii="仿宋_GB2312" w:hAnsi="仿宋_GB2312" w:eastAsia="仿宋_GB2312" w:cs="仿宋_GB2312"/>
          <w:bCs/>
          <w:color w:val="auto"/>
          <w:lang w:val="en-US" w:eastAsia="zh-CN"/>
        </w:rPr>
        <w:t>19</w:t>
      </w:r>
      <w:r>
        <w:rPr>
          <w:rFonts w:hint="eastAsia" w:ascii="仿宋_GB2312" w:hAnsi="仿宋_GB2312" w:eastAsia="仿宋_GB2312" w:cs="仿宋_GB2312"/>
          <w:bCs/>
          <w:color w:val="auto"/>
        </w:rPr>
        <w:t>项、地方标准</w:t>
      </w:r>
      <w:r>
        <w:rPr>
          <w:rFonts w:hint="eastAsia" w:ascii="仿宋_GB2312" w:hAnsi="仿宋_GB2312" w:eastAsia="仿宋_GB2312" w:cs="仿宋_GB2312"/>
          <w:bCs/>
          <w:color w:val="auto"/>
          <w:lang w:val="en-US" w:eastAsia="zh-CN"/>
        </w:rPr>
        <w:t>30</w:t>
      </w:r>
      <w:r>
        <w:rPr>
          <w:rFonts w:hint="eastAsia" w:ascii="仿宋_GB2312" w:hAnsi="仿宋_GB2312" w:eastAsia="仿宋_GB2312" w:cs="仿宋_GB2312"/>
          <w:bCs/>
          <w:color w:val="auto"/>
        </w:rPr>
        <w:t>项，培育团体标准</w:t>
      </w:r>
      <w:r>
        <w:rPr>
          <w:rFonts w:hint="eastAsia" w:ascii="仿宋_GB2312" w:hAnsi="仿宋_GB2312" w:eastAsia="仿宋_GB2312" w:cs="仿宋_GB2312"/>
          <w:bCs/>
          <w:color w:val="auto"/>
          <w:lang w:val="en-US" w:eastAsia="zh-CN"/>
        </w:rPr>
        <w:t>17</w:t>
      </w:r>
      <w:r>
        <w:rPr>
          <w:rFonts w:hint="eastAsia" w:ascii="仿宋_GB2312" w:hAnsi="仿宋_GB2312" w:eastAsia="仿宋_GB2312" w:cs="仿宋_GB2312"/>
          <w:bCs/>
          <w:color w:val="auto"/>
        </w:rPr>
        <w:t>项。全市</w:t>
      </w:r>
      <w:r>
        <w:rPr>
          <w:rFonts w:hint="eastAsia" w:ascii="仿宋_GB2312" w:hAnsi="仿宋_GB2312" w:eastAsia="仿宋_GB2312" w:cs="仿宋_GB2312"/>
          <w:bCs/>
          <w:color w:val="auto"/>
          <w:lang w:val="en-US" w:eastAsia="zh-CN"/>
        </w:rPr>
        <w:t>394</w:t>
      </w:r>
      <w:r>
        <w:rPr>
          <w:rFonts w:hint="eastAsia" w:ascii="仿宋_GB2312" w:hAnsi="仿宋_GB2312" w:eastAsia="仿宋_GB2312" w:cs="仿宋_GB2312"/>
          <w:bCs/>
          <w:color w:val="auto"/>
        </w:rPr>
        <w:t>家企业公开标准</w:t>
      </w:r>
      <w:r>
        <w:rPr>
          <w:rFonts w:hint="eastAsia" w:ascii="仿宋_GB2312" w:hAnsi="仿宋_GB2312" w:eastAsia="仿宋_GB2312" w:cs="仿宋_GB2312"/>
          <w:bCs/>
          <w:color w:val="auto"/>
          <w:lang w:val="en-US" w:eastAsia="zh-CN"/>
        </w:rPr>
        <w:t>2046</w:t>
      </w:r>
      <w:r>
        <w:rPr>
          <w:rFonts w:hint="eastAsia" w:ascii="仿宋_GB2312" w:hAnsi="仿宋_GB2312" w:eastAsia="仿宋_GB2312" w:cs="仿宋_GB2312"/>
          <w:bCs/>
          <w:color w:val="auto"/>
        </w:rPr>
        <w:t>项。强力推进以硅</w:t>
      </w:r>
      <w:r>
        <w:rPr>
          <w:rFonts w:hint="eastAsia" w:ascii="仿宋_GB2312" w:hAnsi="仿宋_GB2312" w:eastAsia="仿宋_GB2312" w:cs="仿宋_GB2312"/>
          <w:bCs/>
          <w:color w:val="auto"/>
          <w:lang w:eastAsia="zh-CN"/>
        </w:rPr>
        <w:t>产品、建筑陶瓷、茶叶、纸制品等为重点的</w:t>
      </w:r>
      <w:r>
        <w:rPr>
          <w:rFonts w:hint="eastAsia" w:ascii="仿宋_GB2312" w:hAnsi="仿宋_GB2312" w:eastAsia="仿宋_GB2312" w:cs="仿宋_GB2312"/>
          <w:bCs/>
          <w:color w:val="auto"/>
        </w:rPr>
        <w:t>省级质检</w:t>
      </w:r>
      <w:r>
        <w:rPr>
          <w:rFonts w:hint="eastAsia" w:ascii="仿宋_GB2312" w:hAnsi="仿宋_GB2312" w:eastAsia="仿宋_GB2312" w:cs="仿宋_GB2312"/>
          <w:bCs/>
          <w:color w:val="auto"/>
          <w:lang w:eastAsia="zh-CN"/>
        </w:rPr>
        <w:t>平台</w:t>
      </w:r>
      <w:r>
        <w:rPr>
          <w:rFonts w:hint="eastAsia" w:ascii="仿宋_GB2312" w:hAnsi="仿宋_GB2312" w:eastAsia="仿宋_GB2312" w:cs="仿宋_GB2312"/>
          <w:bCs/>
          <w:color w:val="auto"/>
        </w:rPr>
        <w:t>建设。完成全国政务服务标准化示范试点</w:t>
      </w:r>
      <w:r>
        <w:rPr>
          <w:rFonts w:hint="eastAsia" w:ascii="仿宋_GB2312" w:hAnsi="仿宋_GB2312" w:eastAsia="仿宋_GB2312" w:cs="仿宋_GB2312"/>
          <w:bCs/>
          <w:color w:val="auto"/>
          <w:lang w:eastAsia="zh-CN"/>
        </w:rPr>
        <w:t>、</w:t>
      </w:r>
      <w:r>
        <w:rPr>
          <w:rFonts w:hint="eastAsia" w:ascii="仿宋_GB2312" w:hAnsi="仿宋_GB2312" w:eastAsia="仿宋_GB2312" w:cs="仿宋_GB2312"/>
          <w:bCs/>
          <w:color w:val="auto"/>
        </w:rPr>
        <w:t>全省首个国家级循环经济综合标准化试点</w:t>
      </w:r>
      <w:r>
        <w:rPr>
          <w:rFonts w:hint="eastAsia" w:ascii="仿宋_GB2312" w:hAnsi="仿宋_GB2312" w:eastAsia="仿宋_GB2312" w:cs="仿宋_GB2312"/>
          <w:bCs/>
          <w:color w:val="auto"/>
          <w:lang w:eastAsia="zh-CN"/>
        </w:rPr>
        <w:t>，</w:t>
      </w:r>
      <w:r>
        <w:rPr>
          <w:rFonts w:hint="eastAsia" w:ascii="仿宋_GB2312" w:hAnsi="仿宋_GB2312" w:eastAsia="仿宋_GB2312" w:cs="仿宋_GB2312"/>
          <w:bCs/>
          <w:color w:val="auto"/>
        </w:rPr>
        <w:t>推进“百城千业万企”对标达标示范城市创建。十三五以来，在省政府质量考核工作中，</w:t>
      </w:r>
      <w:r>
        <w:rPr>
          <w:rFonts w:hint="eastAsia" w:ascii="仿宋_GB2312" w:hAnsi="仿宋_GB2312" w:eastAsia="仿宋_GB2312" w:cs="仿宋_GB2312"/>
          <w:bCs/>
          <w:color w:val="auto"/>
          <w:lang w:val="en-US" w:eastAsia="zh-CN"/>
        </w:rPr>
        <w:t>2019年、2020年</w:t>
      </w:r>
      <w:r>
        <w:rPr>
          <w:rFonts w:hint="eastAsia" w:ascii="仿宋_GB2312" w:hAnsi="仿宋_GB2312" w:eastAsia="仿宋_GB2312" w:cs="仿宋_GB2312"/>
          <w:bCs/>
          <w:color w:val="auto"/>
          <w:lang w:eastAsia="zh-CN"/>
        </w:rPr>
        <w:t>质量强市工作</w:t>
      </w:r>
      <w:r>
        <w:rPr>
          <w:rFonts w:hint="eastAsia" w:ascii="仿宋_GB2312" w:hAnsi="仿宋_GB2312" w:eastAsia="仿宋_GB2312" w:cs="仿宋_GB2312"/>
          <w:bCs/>
          <w:color w:val="auto"/>
        </w:rPr>
        <w:t>连续两年获评A级</w:t>
      </w:r>
      <w:r>
        <w:rPr>
          <w:rFonts w:hint="eastAsia" w:ascii="仿宋_GB2312" w:hAnsi="仿宋_GB2312" w:eastAsia="仿宋_GB2312" w:cs="仿宋_GB2312"/>
          <w:bCs/>
          <w:color w:val="auto"/>
          <w:lang w:eastAsia="zh-CN"/>
        </w:rPr>
        <w:t>，首次</w:t>
      </w:r>
      <w:r>
        <w:rPr>
          <w:rFonts w:hint="eastAsia" w:ascii="仿宋_GB2312" w:hAnsi="仿宋_GB2312" w:eastAsia="仿宋_GB2312" w:cs="仿宋_GB2312"/>
          <w:bCs/>
          <w:color w:val="auto"/>
        </w:rPr>
        <w:t>迈入全省第一梯队</w:t>
      </w:r>
      <w:r>
        <w:rPr>
          <w:rFonts w:hint="eastAsia" w:ascii="仿宋_GB2312" w:hAnsi="仿宋_GB2312" w:eastAsia="仿宋_GB2312" w:cs="仿宋_GB2312"/>
          <w:bCs/>
          <w:color w:val="auto"/>
          <w:lang w:eastAsia="zh-CN"/>
        </w:rPr>
        <w:t>。</w:t>
      </w:r>
      <w:r>
        <w:rPr>
          <w:rFonts w:hint="eastAsia" w:ascii="仿宋_GB2312" w:hAnsi="仿宋_GB2312" w:eastAsia="仿宋_GB2312" w:cs="仿宋_GB2312"/>
          <w:bCs/>
          <w:color w:val="auto"/>
        </w:rPr>
        <w:t>市民质量满意度连续三年位居全省前列</w:t>
      </w:r>
      <w:r>
        <w:rPr>
          <w:rFonts w:hint="eastAsia" w:ascii="仿宋_GB2312" w:hAnsi="仿宋_GB2312" w:eastAsia="仿宋_GB2312" w:cs="仿宋_GB2312"/>
          <w:bCs/>
          <w:color w:val="auto"/>
          <w:lang w:eastAsia="zh-CN"/>
        </w:rPr>
        <w:t>。</w:t>
      </w:r>
    </w:p>
    <w:p>
      <w:pPr>
        <w:spacing w:line="540" w:lineRule="exact"/>
        <w:ind w:firstLine="640"/>
        <w:rPr>
          <w:rFonts w:ascii="仿宋_GB2312" w:hAnsi="仿宋_GB2312" w:eastAsia="仿宋_GB2312" w:cs="仿宋_GB2312"/>
          <w:bCs/>
          <w:color w:val="auto"/>
          <w:sz w:val="32"/>
          <w:szCs w:val="32"/>
        </w:rPr>
      </w:pPr>
      <w:r>
        <w:rPr>
          <w:rFonts w:hint="eastAsia" w:ascii="仿宋_GB2312" w:hAnsi="仿宋" w:eastAsia="仿宋_GB2312" w:cs="宋体"/>
          <w:b/>
          <w:bCs/>
          <w:color w:val="auto"/>
          <w:kern w:val="0"/>
          <w:sz w:val="32"/>
          <w:szCs w:val="32"/>
        </w:rPr>
        <w:t>——民营经济</w:t>
      </w:r>
      <w:r>
        <w:rPr>
          <w:rFonts w:hint="eastAsia" w:ascii="仿宋_GB2312" w:hAnsi="仿宋" w:eastAsia="仿宋_GB2312" w:cs="宋体"/>
          <w:b/>
          <w:bCs/>
          <w:color w:val="auto"/>
          <w:kern w:val="0"/>
          <w:sz w:val="32"/>
          <w:szCs w:val="32"/>
          <w:lang w:eastAsia="zh-CN"/>
        </w:rPr>
        <w:t>健康发展</w:t>
      </w:r>
      <w:r>
        <w:rPr>
          <w:rFonts w:hint="eastAsia" w:ascii="仿宋_GB2312" w:hAnsi="仿宋" w:eastAsia="仿宋_GB2312" w:cs="宋体"/>
          <w:b/>
          <w:bCs/>
          <w:color w:val="auto"/>
          <w:kern w:val="0"/>
          <w:sz w:val="32"/>
          <w:szCs w:val="32"/>
        </w:rPr>
        <w:t>。</w:t>
      </w:r>
      <w:r>
        <w:rPr>
          <w:rFonts w:hint="eastAsia" w:ascii="仿宋_GB2312" w:hAnsi="仿宋_GB2312" w:eastAsia="仿宋_GB2312" w:cs="仿宋_GB2312"/>
          <w:bCs/>
          <w:color w:val="auto"/>
          <w:sz w:val="32"/>
          <w:szCs w:val="32"/>
        </w:rPr>
        <w:t>出台加快民营经济发展的实施意见、市应对疫情缓解中小企业生产经营困难二十条、“稳企业、促生产、保经营”的市场监管八条等系列政策，让政策措施“红利”惠及广大民营企业。推进全市172家民营企业建立现代企业制度，有效提升企业现代化的管理水平。创建“小个专”综合党委＋党支部的非公党建“乐山模式”，全面加强党的领导，引导民营企业通过“党建+”模式进一步服务地方经济发展。建立党委政府与民营企业沟通交流、市级领导挂联重点民营企业和商(协)会制度，构建亲清政商关系。加强涉企维权部门协作配合，建立保护民营企业合法权益工作联动机制，推送维护民企案例入选《2020年四川省保护民营企业合法权益十大典型案例》。截至“十三五”末，新增民营企业2.7万户，占市场主体总量的96.4%。全市民营经济对GDP增长贡献率达54.6%，对投资贡献率达44.5%，对税收贡献率达78.5%，对就业贡献率达80.96%。2家民企跻身“中国民企500强”，3家民企跻身“中国民企制造业500强”，6家民企跻身“四川民企100强”，全市民营经济增加值达1121.84亿元，较“十二五”末提升达</w:t>
      </w:r>
      <w:r>
        <w:rPr>
          <w:rFonts w:ascii="仿宋_GB2312" w:hAnsi="仿宋_GB2312" w:eastAsia="仿宋_GB2312" w:cs="仿宋_GB2312"/>
          <w:bCs/>
          <w:color w:val="auto"/>
          <w:sz w:val="32"/>
          <w:szCs w:val="32"/>
        </w:rPr>
        <w:t>51.8个百分点。</w:t>
      </w:r>
      <w:r>
        <w:rPr>
          <w:rFonts w:hint="eastAsia" w:ascii="仿宋_GB2312" w:hAnsi="仿宋_GB2312" w:eastAsia="仿宋_GB2312" w:cs="仿宋_GB2312"/>
          <w:bCs/>
          <w:color w:val="auto"/>
          <w:sz w:val="32"/>
          <w:szCs w:val="32"/>
        </w:rPr>
        <w:t>乐山被表扬为“促进民营经济发展先进市”。</w:t>
      </w:r>
    </w:p>
    <w:p>
      <w:pPr>
        <w:spacing w:line="540" w:lineRule="exact"/>
        <w:ind w:firstLine="643" w:firstLineChars="200"/>
        <w:rPr>
          <w:rFonts w:ascii="仿宋_GB2312" w:hAnsi="仿宋_GB2312" w:eastAsia="仿宋_GB2312" w:cs="仿宋_GB2312"/>
          <w:color w:val="auto"/>
        </w:rPr>
      </w:pPr>
      <w:r>
        <w:rPr>
          <w:rFonts w:hint="eastAsia" w:ascii="仿宋_GB2312" w:hAnsi="仿宋" w:eastAsia="仿宋_GB2312" w:cs="宋体"/>
          <w:b/>
          <w:bCs/>
          <w:color w:val="auto"/>
          <w:kern w:val="0"/>
          <w:sz w:val="32"/>
          <w:szCs w:val="32"/>
        </w:rPr>
        <w:t>——</w:t>
      </w:r>
      <w:r>
        <w:rPr>
          <w:rFonts w:hint="eastAsia" w:ascii="仿宋_GB2312" w:hAnsi="仿宋" w:eastAsia="仿宋_GB2312" w:cs="宋体"/>
          <w:b/>
          <w:bCs/>
          <w:color w:val="auto"/>
          <w:kern w:val="0"/>
          <w:sz w:val="32"/>
          <w:szCs w:val="32"/>
          <w:lang w:eastAsia="zh-CN"/>
        </w:rPr>
        <w:t>创新驱动支撑有力</w:t>
      </w:r>
      <w:r>
        <w:rPr>
          <w:rFonts w:hint="eastAsia" w:ascii="仿宋_GB2312" w:hAnsi="仿宋" w:eastAsia="仿宋_GB2312" w:cs="宋体"/>
          <w:b/>
          <w:bCs/>
          <w:color w:val="auto"/>
          <w:kern w:val="0"/>
          <w:sz w:val="32"/>
          <w:szCs w:val="32"/>
        </w:rPr>
        <w:t>。</w:t>
      </w:r>
      <w:r>
        <w:rPr>
          <w:rFonts w:hint="eastAsia" w:ascii="仿宋_GB2312" w:hAnsi="仿宋" w:eastAsia="仿宋_GB2312" w:cs="宋体"/>
          <w:b w:val="0"/>
          <w:bCs w:val="0"/>
          <w:color w:val="auto"/>
          <w:kern w:val="0"/>
          <w:sz w:val="32"/>
          <w:szCs w:val="32"/>
          <w:lang w:eastAsia="zh-CN"/>
        </w:rPr>
        <w:t>新获批</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Cs/>
          <w:color w:val="auto"/>
          <w:sz w:val="32"/>
          <w:szCs w:val="32"/>
        </w:rPr>
        <w:t>国家知识产权试点城市”，成为四川省商标战略实施示范城市，</w:t>
      </w:r>
      <w:r>
        <w:rPr>
          <w:rFonts w:hint="eastAsia" w:ascii="仿宋_GB2312" w:hAnsi="仿宋_GB2312" w:eastAsia="仿宋_GB2312" w:cs="仿宋_GB2312"/>
          <w:color w:val="auto"/>
          <w:sz w:val="32"/>
          <w:szCs w:val="32"/>
          <w:lang w:bidi="ar"/>
        </w:rPr>
        <w:t>加强企业商标、专利等自主知识产权培育</w:t>
      </w:r>
      <w:r>
        <w:rPr>
          <w:rFonts w:hint="eastAsia" w:ascii="仿宋_GB2312" w:hAnsi="仿宋_GB2312" w:eastAsia="仿宋_GB2312" w:cs="仿宋_GB2312"/>
          <w:color w:val="auto"/>
          <w:sz w:val="32"/>
          <w:szCs w:val="32"/>
          <w:lang w:eastAsia="zh-CN" w:bidi="ar"/>
        </w:rPr>
        <w:t>力度，</w:t>
      </w:r>
      <w:r>
        <w:rPr>
          <w:rFonts w:hint="eastAsia" w:ascii="仿宋_GB2312" w:hAnsi="仿宋_GB2312" w:eastAsia="仿宋_GB2312" w:cs="仿宋_GB2312"/>
          <w:color w:val="auto"/>
          <w:sz w:val="32"/>
          <w:szCs w:val="32"/>
          <w:lang w:bidi="ar"/>
        </w:rPr>
        <w:t>大力推动知识产权创造、保护、管理</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bidi="ar"/>
        </w:rPr>
        <w:t>运用</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bidi="ar"/>
        </w:rPr>
        <w:t>十三五期间，</w:t>
      </w:r>
      <w:r>
        <w:rPr>
          <w:rFonts w:hint="eastAsia" w:ascii="仿宋_GB2312" w:hAnsi="仿宋_GB2312" w:eastAsia="仿宋_GB2312" w:cs="仿宋_GB2312"/>
          <w:color w:val="auto"/>
          <w:sz w:val="32"/>
          <w:szCs w:val="32"/>
          <w:lang w:val="en-US" w:eastAsia="zh-CN" w:bidi="ar"/>
        </w:rPr>
        <w:t>专利授权7523件，专利申请总量12386件，是“十二五”时期的2.5倍。每万人发明专利拥有量居全省第7位。</w:t>
      </w:r>
      <w:r>
        <w:rPr>
          <w:rFonts w:hint="eastAsia" w:ascii="仿宋_GB2312" w:hAnsi="仿宋_GB2312" w:eastAsia="仿宋_GB2312" w:cs="仿宋_GB2312"/>
          <w:bCs/>
          <w:color w:val="auto"/>
          <w:sz w:val="32"/>
          <w:szCs w:val="32"/>
        </w:rPr>
        <w:t>新增专利实施项目2629项、产值569.1亿元。成立四川省多晶硅产业知识产权联盟，助力“中国绿色硅谷”建设。有效注册商标14598件，较“十二五”增长173.93%，拥有中国驰名商标18件、马德里国际商标注册30件。</w:t>
      </w:r>
      <w:r>
        <w:rPr>
          <w:rFonts w:hint="eastAsia" w:ascii="仿宋_GB2312" w:hAnsi="仿宋_GB2312" w:eastAsia="仿宋_GB2312" w:cs="仿宋_GB2312"/>
          <w:bCs/>
          <w:color w:val="auto"/>
          <w:sz w:val="32"/>
          <w:szCs w:val="32"/>
          <w:lang w:eastAsia="zh-CN"/>
        </w:rPr>
        <w:t>开展“乐山味道”</w:t>
      </w:r>
      <w:r>
        <w:rPr>
          <w:rFonts w:hint="eastAsia" w:ascii="仿宋_GB2312" w:hAnsi="仿宋_GB2312" w:eastAsia="仿宋_GB2312" w:cs="仿宋_GB2312"/>
          <w:bCs/>
          <w:color w:val="auto"/>
          <w:sz w:val="32"/>
          <w:szCs w:val="32"/>
        </w:rPr>
        <w:t>“乐山礼物”等区域公共品牌注册。国家地理标志商标（地理标志保护产品）32件，256家企业437个产品获准使用四川扶贫集体商标。培育省级有机认证示范县2个。“峨眉山茶”入选中欧地理标志保护协定第一批保护名录。</w:t>
      </w:r>
    </w:p>
    <w:p>
      <w:pPr>
        <w:pBdr>
          <w:bottom w:val="single" w:color="FFFFFF" w:sz="4" w:space="31"/>
        </w:pBdr>
        <w:tabs>
          <w:tab w:val="left" w:pos="1440"/>
        </w:tabs>
        <w:adjustRightInd w:val="0"/>
        <w:snapToGrid w:val="0"/>
        <w:spacing w:line="540" w:lineRule="exact"/>
        <w:ind w:firstLine="640"/>
        <w:rPr>
          <w:rFonts w:ascii="仿宋_GB2312" w:hAnsi="仿宋_GB2312" w:eastAsia="仿宋_GB2312" w:cs="仿宋_GB2312"/>
          <w:color w:val="auto"/>
          <w:sz w:val="32"/>
          <w:szCs w:val="32"/>
          <w:lang w:bidi="ar"/>
        </w:rPr>
      </w:pPr>
      <w:r>
        <w:rPr>
          <w:rFonts w:hint="eastAsia" w:ascii="仿宋_GB2312" w:hAnsi="仿宋" w:eastAsia="仿宋_GB2312" w:cs="宋体"/>
          <w:b/>
          <w:bCs/>
          <w:color w:val="auto"/>
          <w:kern w:val="0"/>
          <w:sz w:val="32"/>
          <w:szCs w:val="32"/>
        </w:rPr>
        <w:t>——竞争环境明显改善。</w:t>
      </w:r>
      <w:r>
        <w:rPr>
          <w:rFonts w:hint="eastAsia" w:ascii="仿宋_GB2312" w:hAnsi="仿宋_GB2312" w:eastAsia="仿宋_GB2312" w:cs="仿宋_GB2312"/>
          <w:color w:val="auto"/>
          <w:sz w:val="32"/>
          <w:szCs w:val="32"/>
        </w:rPr>
        <w:t>贯彻执行《反不正当竞争法》，</w:t>
      </w:r>
      <w:r>
        <w:rPr>
          <w:rFonts w:hint="eastAsia" w:ascii="仿宋_GB2312" w:hAnsi="仿宋_GB2312" w:eastAsia="仿宋_GB2312" w:cs="仿宋_GB2312"/>
          <w:color w:val="auto"/>
          <w:sz w:val="32"/>
          <w:szCs w:val="32"/>
          <w:lang w:eastAsia="zh-CN"/>
        </w:rPr>
        <w:t>率先</w:t>
      </w:r>
      <w:r>
        <w:rPr>
          <w:rFonts w:hint="eastAsia" w:ascii="仿宋_GB2312" w:hAnsi="仿宋_GB2312" w:eastAsia="仿宋_GB2312" w:cs="仿宋_GB2312"/>
          <w:color w:val="auto"/>
          <w:sz w:val="32"/>
          <w:szCs w:val="32"/>
        </w:rPr>
        <w:t>建立公平竞争自我审查机制，</w:t>
      </w:r>
      <w:r>
        <w:rPr>
          <w:rFonts w:hint="eastAsia" w:ascii="仿宋_GB2312" w:hAnsi="仿宋_GB2312" w:eastAsia="仿宋_GB2312" w:cs="仿宋_GB2312"/>
          <w:bCs/>
          <w:color w:val="auto"/>
          <w:sz w:val="32"/>
          <w:szCs w:val="32"/>
        </w:rPr>
        <w:t>清理妨碍统一市场和公平竞争的现行政策措施文件24685件。突出重点领域、民生关注，持续打造“春雷行动”执法品牌。“十三五”期间，共查处各类市场违法违章案件1.5万件，罚没9230余万元，移送刑事处罚63件。</w:t>
      </w:r>
      <w:r>
        <w:rPr>
          <w:rFonts w:hint="eastAsia" w:ascii="仿宋_GB2312" w:hAnsi="仿宋_GB2312" w:eastAsia="仿宋_GB2312" w:cs="仿宋_GB2312"/>
          <w:bCs/>
          <w:color w:val="auto"/>
          <w:sz w:val="32"/>
          <w:szCs w:val="32"/>
          <w:lang w:eastAsia="zh-CN"/>
        </w:rPr>
        <w:t>率先</w:t>
      </w:r>
      <w:r>
        <w:rPr>
          <w:rFonts w:hint="eastAsia" w:ascii="仿宋_GB2312" w:hAnsi="仿宋_GB2312" w:eastAsia="仿宋_GB2312" w:cs="仿宋_GB2312"/>
          <w:bCs/>
          <w:color w:val="auto"/>
          <w:sz w:val="32"/>
          <w:szCs w:val="32"/>
        </w:rPr>
        <w:t>建成“乐山市市场主体信用信息交换中心”，建立起以信用监管为核心</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信息共享、互联互通、协同监管为重点的事中事后监管“乐山模式”。</w:t>
      </w:r>
      <w:r>
        <w:rPr>
          <w:rFonts w:hint="eastAsia" w:ascii="仿宋_GB2312" w:hAnsi="仿宋_GB2312" w:eastAsia="仿宋_GB2312" w:cs="仿宋_GB2312"/>
          <w:bCs/>
          <w:color w:val="auto"/>
          <w:sz w:val="32"/>
          <w:szCs w:val="32"/>
          <w:lang w:eastAsia="zh-CN"/>
        </w:rPr>
        <w:t>推行“双随机一公开”监管。</w:t>
      </w:r>
      <w:r>
        <w:rPr>
          <w:rFonts w:hint="eastAsia" w:ascii="仿宋_GB2312" w:hAnsi="仿宋_GB2312" w:eastAsia="仿宋_GB2312" w:cs="仿宋_GB2312"/>
          <w:bCs/>
          <w:color w:val="auto"/>
          <w:sz w:val="32"/>
          <w:szCs w:val="32"/>
        </w:rPr>
        <w:t>交换中心作为“全省改革转型发展的十大典型案例”</w:t>
      </w:r>
      <w:r>
        <w:rPr>
          <w:rFonts w:hint="eastAsia" w:ascii="仿宋_GB2312" w:hAnsi="仿宋_GB2312" w:eastAsia="仿宋_GB2312" w:cs="仿宋_GB2312"/>
          <w:bCs/>
          <w:color w:val="auto"/>
          <w:sz w:val="32"/>
          <w:szCs w:val="32"/>
          <w:lang w:eastAsia="zh-CN"/>
        </w:rPr>
        <w:t>之一</w:t>
      </w:r>
      <w:r>
        <w:rPr>
          <w:rFonts w:hint="eastAsia" w:ascii="仿宋_GB2312" w:hAnsi="仿宋_GB2312" w:eastAsia="仿宋_GB2312" w:cs="仿宋_GB2312"/>
          <w:bCs/>
          <w:color w:val="auto"/>
          <w:sz w:val="32"/>
          <w:szCs w:val="32"/>
        </w:rPr>
        <w:t>进行推广。</w:t>
      </w:r>
      <w:r>
        <w:rPr>
          <w:rFonts w:hint="eastAsia" w:ascii="仿宋_GB2312" w:hAnsi="仿宋_GB2312" w:eastAsia="仿宋_GB2312" w:cs="仿宋_GB2312"/>
          <w:color w:val="auto"/>
          <w:sz w:val="32"/>
          <w:szCs w:val="32"/>
          <w:lang w:bidi="ar"/>
        </w:rPr>
        <w:t>十三五以来，</w:t>
      </w:r>
      <w:r>
        <w:rPr>
          <w:rFonts w:hint="eastAsia" w:ascii="仿宋_GB2312" w:hAnsi="仿宋_GB2312" w:eastAsia="仿宋_GB2312" w:cs="仿宋_GB2312"/>
          <w:bCs/>
          <w:color w:val="auto"/>
          <w:sz w:val="32"/>
          <w:szCs w:val="32"/>
        </w:rPr>
        <w:t>企业年报率连续三年位居全省前列。</w:t>
      </w:r>
      <w:r>
        <w:rPr>
          <w:rFonts w:hint="eastAsia" w:ascii="仿宋_GB2312" w:hAnsi="仿宋_GB2312" w:eastAsia="仿宋_GB2312" w:cs="仿宋_GB2312"/>
          <w:color w:val="auto"/>
          <w:sz w:val="32"/>
          <w:szCs w:val="32"/>
          <w:lang w:bidi="ar"/>
        </w:rPr>
        <w:t>随机抽查企业6792户，列入经营异常名录35975户、严重违法失信企业名单35975户。</w:t>
      </w:r>
    </w:p>
    <w:p>
      <w:pPr>
        <w:pBdr>
          <w:bottom w:val="single" w:color="FFFFFF" w:sz="4" w:space="31"/>
        </w:pBdr>
        <w:tabs>
          <w:tab w:val="left" w:pos="1440"/>
        </w:tabs>
        <w:adjustRightInd w:val="0"/>
        <w:snapToGrid w:val="0"/>
        <w:spacing w:line="540" w:lineRule="exact"/>
        <w:ind w:firstLine="643" w:firstLineChars="200"/>
        <w:rPr>
          <w:rFonts w:ascii="仿宋_GB2312" w:hAnsi="仿宋_GB2312" w:eastAsia="仿宋_GB2312" w:cs="仿宋_GB2312"/>
          <w:color w:val="auto"/>
          <w:sz w:val="32"/>
          <w:szCs w:val="32"/>
        </w:rPr>
      </w:pPr>
      <w:r>
        <w:rPr>
          <w:rFonts w:hint="eastAsia" w:ascii="仿宋_GB2312" w:hAnsi="仿宋" w:eastAsia="仿宋_GB2312" w:cs="宋体"/>
          <w:b/>
          <w:bCs/>
          <w:color w:val="auto"/>
          <w:kern w:val="0"/>
          <w:sz w:val="32"/>
          <w:szCs w:val="32"/>
        </w:rPr>
        <w:t>——消费环境显著优化。</w:t>
      </w:r>
      <w:r>
        <w:rPr>
          <w:rFonts w:hint="eastAsia" w:ascii="仿宋_GB2312" w:hAnsi="仿宋_GB2312" w:eastAsia="仿宋_GB2312" w:cs="仿宋_GB2312"/>
          <w:bCs/>
          <w:color w:val="auto"/>
          <w:sz w:val="32"/>
          <w:szCs w:val="32"/>
        </w:rPr>
        <w:t>获批创建全省首批“放心舒心消费城市试点市”。坚持以旅游业为突破，创新“互联网+”手段，建成“诚信乐山消费信用公示服务平台”,实施“N+1”</w:t>
      </w:r>
      <w:r>
        <w:rPr>
          <w:rFonts w:hint="eastAsia" w:ascii="仿宋_GB2312" w:hAnsi="仿宋_GB2312" w:eastAsia="仿宋_GB2312" w:cs="仿宋_GB2312"/>
          <w:color w:val="auto"/>
          <w:sz w:val="32"/>
          <w:szCs w:val="32"/>
        </w:rPr>
        <w:t>示范创建工程</w:t>
      </w:r>
      <w:r>
        <w:rPr>
          <w:rStyle w:val="26"/>
          <w:rFonts w:hint="eastAsia" w:ascii="仿宋_GB2312" w:hAnsi="仿宋_GB2312" w:eastAsia="仿宋_GB2312" w:cs="仿宋_GB2312"/>
          <w:bCs/>
          <w:color w:val="auto"/>
          <w:sz w:val="32"/>
          <w:szCs w:val="32"/>
        </w:rPr>
        <w:footnoteReference w:id="0"/>
      </w:r>
      <w:r>
        <w:rPr>
          <w:rFonts w:hint="eastAsia" w:ascii="仿宋_GB2312" w:hAnsi="仿宋_GB2312" w:eastAsia="仿宋_GB2312" w:cs="仿宋_GB2312"/>
          <w:bCs/>
          <w:color w:val="auto"/>
          <w:sz w:val="32"/>
          <w:szCs w:val="32"/>
        </w:rPr>
        <w:t>，在全市28个A级以上景区和47个行业开展全域消费创建。建成示范街98条、示范店1.3万个、示范商场（超市）100个、乡村旅游点174个。</w:t>
      </w:r>
      <w:r>
        <w:rPr>
          <w:rFonts w:hint="eastAsia" w:ascii="仿宋_GB2312" w:hAnsi="仿宋_GB2312" w:eastAsia="仿宋_GB2312" w:cs="仿宋_GB2312"/>
          <w:color w:val="auto"/>
          <w:sz w:val="32"/>
          <w:szCs w:val="32"/>
          <w:lang w:bidi="ar"/>
        </w:rPr>
        <w:t>创</w:t>
      </w:r>
      <w:r>
        <w:rPr>
          <w:rFonts w:hint="eastAsia" w:ascii="仿宋_GB2312" w:hAnsi="仿宋_GB2312" w:eastAsia="仿宋_GB2312" w:cs="仿宋_GB2312"/>
          <w:color w:val="auto"/>
          <w:sz w:val="32"/>
          <w:szCs w:val="32"/>
          <w:lang w:eastAsia="zh-CN" w:bidi="ar"/>
        </w:rPr>
        <w:t>建</w:t>
      </w:r>
      <w:r>
        <w:rPr>
          <w:rFonts w:hint="eastAsia" w:ascii="仿宋_GB2312" w:hAnsi="仿宋_GB2312" w:eastAsia="仿宋_GB2312" w:cs="仿宋_GB2312"/>
          <w:color w:val="auto"/>
          <w:sz w:val="32"/>
          <w:szCs w:val="32"/>
          <w:lang w:bidi="ar"/>
        </w:rPr>
        <w:t>新型快速维权体系，</w:t>
      </w:r>
      <w:r>
        <w:rPr>
          <w:rFonts w:hint="eastAsia" w:ascii="仿宋_GB2312" w:hAnsi="仿宋_GB2312" w:eastAsia="仿宋_GB2312" w:cs="仿宋_GB2312"/>
          <w:color w:val="auto"/>
          <w:sz w:val="32"/>
          <w:szCs w:val="32"/>
        </w:rPr>
        <w:t>完成了12315“五线合一”</w:t>
      </w:r>
      <w:r>
        <w:rPr>
          <w:rStyle w:val="26"/>
          <w:rFonts w:hint="eastAsia" w:ascii="仿宋_GB2312" w:hAnsi="仿宋_GB2312" w:eastAsia="仿宋_GB2312" w:cs="仿宋_GB2312"/>
          <w:color w:val="auto"/>
          <w:sz w:val="32"/>
          <w:szCs w:val="32"/>
        </w:rPr>
        <w:footnoteReference w:id="1"/>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bidi="ar"/>
        </w:rPr>
        <w:t>实现90%以上一般消费纠纷“不出店门、不出街区、不出景区”。</w:t>
      </w:r>
      <w:r>
        <w:rPr>
          <w:rFonts w:hint="eastAsia" w:ascii="仿宋_GB2312" w:hAnsi="仿宋_GB2312" w:eastAsia="仿宋_GB2312" w:cs="仿宋_GB2312"/>
          <w:bCs/>
          <w:color w:val="auto"/>
          <w:sz w:val="32"/>
          <w:szCs w:val="32"/>
        </w:rPr>
        <w:t>“十三五”期间，建立起以信息公示为基础、以信用监管为核心、以快速维权为手段、以社会共治为目标的放心舒心创建“乐山模式”</w:t>
      </w:r>
      <w:r>
        <w:rPr>
          <w:rFonts w:hint="eastAsia" w:ascii="仿宋_GB2312" w:hAnsi="仿宋_GB2312" w:eastAsia="仿宋_GB2312" w:cs="仿宋_GB2312"/>
          <w:bCs/>
          <w:color w:val="auto"/>
          <w:sz w:val="32"/>
          <w:szCs w:val="32"/>
          <w:lang w:eastAsia="zh-CN"/>
        </w:rPr>
        <w:t>，创建工作</w:t>
      </w:r>
      <w:r>
        <w:rPr>
          <w:rFonts w:hint="eastAsia" w:ascii="仿宋_GB2312" w:hAnsi="仿宋_GB2312" w:eastAsia="仿宋_GB2312" w:cs="仿宋_GB2312"/>
          <w:color w:val="auto"/>
          <w:sz w:val="32"/>
          <w:szCs w:val="32"/>
        </w:rPr>
        <w:t>成为“十三五”国家服务业综合改革典型案例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bidi="ar"/>
        </w:rPr>
        <w:t>乐山消费服务质量总体满意度达90%以上，</w:t>
      </w:r>
      <w:r>
        <w:rPr>
          <w:rFonts w:hint="eastAsia" w:ascii="仿宋_GB2312" w:hAnsi="仿宋_GB2312" w:eastAsia="仿宋_GB2312" w:cs="仿宋_GB2312"/>
          <w:bCs/>
          <w:color w:val="auto"/>
          <w:sz w:val="32"/>
          <w:szCs w:val="32"/>
        </w:rPr>
        <w:t>消费满意度指数连续四年位居全省前三。</w:t>
      </w:r>
    </w:p>
    <w:p>
      <w:pPr>
        <w:pBdr>
          <w:bottom w:val="single" w:color="FFFFFF" w:sz="4" w:space="31"/>
        </w:pBdr>
        <w:tabs>
          <w:tab w:val="left" w:pos="1440"/>
        </w:tabs>
        <w:adjustRightInd w:val="0"/>
        <w:snapToGrid w:val="0"/>
        <w:spacing w:line="540" w:lineRule="exact"/>
        <w:ind w:firstLine="643" w:firstLineChars="200"/>
        <w:rPr>
          <w:rFonts w:ascii="仿宋_GB2312" w:hAnsi="仿宋_GB2312" w:eastAsia="仿宋_GB2312" w:cs="仿宋_GB2312"/>
          <w:color w:val="auto"/>
          <w:sz w:val="32"/>
          <w:szCs w:val="32"/>
        </w:rPr>
      </w:pPr>
      <w:r>
        <w:rPr>
          <w:rFonts w:hint="eastAsia" w:ascii="仿宋_GB2312" w:hAnsi="仿宋" w:eastAsia="仿宋_GB2312" w:cs="宋体"/>
          <w:b/>
          <w:bCs/>
          <w:color w:val="auto"/>
          <w:kern w:val="0"/>
          <w:sz w:val="32"/>
          <w:szCs w:val="32"/>
        </w:rPr>
        <w:t>——市场安全稳中向好。</w:t>
      </w:r>
      <w:r>
        <w:rPr>
          <w:rFonts w:hint="eastAsia" w:ascii="仿宋_GB2312" w:hAnsi="仿宋_GB2312" w:eastAsia="仿宋_GB2312" w:cs="仿宋_GB2312"/>
          <w:color w:val="auto"/>
          <w:sz w:val="32"/>
          <w:szCs w:val="32"/>
        </w:rPr>
        <w:t>坚持“四个最严”，严格落实食品安全“党政同责”和属地监管责任，加强食品、药品、产品质量、特种设备安全监管，“十三五”期间，全市无重大安全事故发生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食品</w:t>
      </w:r>
      <w:r>
        <w:rPr>
          <w:rFonts w:hint="eastAsia" w:ascii="仿宋_GB2312" w:hAnsi="仿宋_GB2312" w:eastAsia="仿宋_GB2312" w:cs="仿宋_GB2312"/>
          <w:color w:val="auto"/>
          <w:sz w:val="32"/>
          <w:szCs w:val="32"/>
          <w:lang w:eastAsia="zh-CN"/>
        </w:rPr>
        <w:t>、药品、</w:t>
      </w:r>
      <w:r>
        <w:rPr>
          <w:rFonts w:hint="eastAsia" w:ascii="仿宋_GB2312" w:hAnsi="仿宋_GB2312" w:eastAsia="仿宋_GB2312" w:cs="仿宋_GB2312"/>
          <w:color w:val="auto"/>
          <w:sz w:val="32"/>
          <w:szCs w:val="32"/>
        </w:rPr>
        <w:t>工业产品检合格率</w:t>
      </w:r>
      <w:r>
        <w:rPr>
          <w:rFonts w:hint="eastAsia" w:ascii="仿宋_GB2312" w:hAnsi="仿宋_GB2312" w:eastAsia="仿宋_GB2312" w:cs="仿宋_GB2312"/>
          <w:color w:val="auto"/>
          <w:sz w:val="32"/>
          <w:szCs w:val="32"/>
          <w:lang w:eastAsia="zh-CN"/>
        </w:rPr>
        <w:t>达</w:t>
      </w:r>
      <w:r>
        <w:rPr>
          <w:rFonts w:hint="eastAsia" w:ascii="仿宋_GB2312" w:hAnsi="仿宋_GB2312" w:eastAsia="仿宋_GB2312" w:cs="仿宋_GB2312"/>
          <w:color w:val="auto"/>
          <w:sz w:val="32"/>
          <w:szCs w:val="32"/>
          <w:lang w:val="en-US" w:eastAsia="zh-CN"/>
        </w:rPr>
        <w:t>98%、98%、94.7%</w:t>
      </w:r>
      <w:r>
        <w:rPr>
          <w:rFonts w:hint="eastAsia" w:ascii="仿宋_GB2312" w:hAnsi="仿宋_GB2312" w:eastAsia="仿宋_GB2312" w:cs="仿宋_GB2312"/>
          <w:color w:val="auto"/>
          <w:sz w:val="32"/>
          <w:szCs w:val="32"/>
        </w:rPr>
        <w:t>。创建省级食品安全示范县5个、食品安全示范乡镇80个。农贸市场管理、食品“三小”治理</w:t>
      </w:r>
      <w:r>
        <w:rPr>
          <w:rFonts w:hint="eastAsia" w:ascii="仿宋_GB2312" w:hAnsi="仿宋_GB2312" w:eastAsia="仿宋_GB2312" w:cs="仿宋_GB2312"/>
          <w:color w:val="auto"/>
          <w:sz w:val="32"/>
          <w:szCs w:val="32"/>
          <w:lang w:eastAsia="zh-CN"/>
        </w:rPr>
        <w:t>取得突破</w:t>
      </w:r>
      <w:r>
        <w:rPr>
          <w:rFonts w:hint="eastAsia" w:ascii="仿宋_GB2312" w:hAnsi="仿宋_GB2312" w:eastAsia="仿宋_GB2312" w:cs="仿宋_GB2312"/>
          <w:color w:val="auto"/>
          <w:sz w:val="32"/>
          <w:szCs w:val="32"/>
        </w:rPr>
        <w:t>，助力乐山创建为国家卫生城市，食品安全满意度显著提升。建立“双重预防”体系，实行清单制管理，有力保障全市</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万台特种设备的安全运行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结合疫情防控和灾后市场监管，检查市场主体15万家，查处案件293起，销毁受洪水浸泡的食品15吨，及时恢复运行受灾电梯1752台。</w:t>
      </w:r>
      <w:r>
        <w:rPr>
          <w:rFonts w:hint="eastAsia" w:ascii="仿宋_GB2312" w:hAnsi="仿宋_GB2312" w:eastAsia="仿宋_GB2312" w:cs="仿宋_GB2312"/>
          <w:color w:val="auto"/>
          <w:sz w:val="32"/>
          <w:szCs w:val="32"/>
          <w:lang w:eastAsia="zh-CN"/>
        </w:rPr>
        <w:t>推进</w:t>
      </w:r>
      <w:r>
        <w:rPr>
          <w:rFonts w:hint="eastAsia" w:ascii="仿宋_GB2312" w:hAnsi="仿宋_GB2312" w:eastAsia="仿宋_GB2312" w:cs="仿宋_GB2312"/>
          <w:color w:val="auto"/>
          <w:sz w:val="32"/>
          <w:szCs w:val="32"/>
        </w:rPr>
        <w:t>常态化疫情防控，建成冷链食品集中监管仓11个，899个冻库全部建立库长制并挂牌运行。十三五以来，创</w:t>
      </w:r>
      <w:r>
        <w:rPr>
          <w:rFonts w:hint="eastAsia" w:ascii="仿宋_GB2312" w:hAnsi="仿宋_GB2312" w:eastAsia="仿宋_GB2312" w:cs="仿宋_GB2312"/>
          <w:color w:val="auto"/>
          <w:sz w:val="32"/>
          <w:szCs w:val="32"/>
          <w:lang w:eastAsia="zh-CN"/>
        </w:rPr>
        <w:t>建</w:t>
      </w:r>
      <w:r>
        <w:rPr>
          <w:rFonts w:hint="eastAsia" w:ascii="仿宋_GB2312" w:hAnsi="仿宋_GB2312" w:eastAsia="仿宋_GB2312" w:cs="仿宋_GB2312"/>
          <w:color w:val="auto"/>
          <w:sz w:val="32"/>
          <w:szCs w:val="32"/>
        </w:rPr>
        <w:t>“互联网+乡村宴席”、“互联网+食品风险分级”智慧监管平台、特种设备信息化追溯系统，市场监管治理水平显著提升。</w:t>
      </w:r>
    </w:p>
    <w:p>
      <w:pPr>
        <w:pStyle w:val="5"/>
        <w:spacing w:after="0"/>
        <w:jc w:val="center"/>
        <w:rPr>
          <w:rFonts w:ascii="仿宋_GB2312" w:hAnsi="Times New Roman" w:eastAsia="仿宋_GB2312" w:cs="Times New Roman"/>
          <w:color w:val="auto"/>
        </w:rPr>
      </w:pPr>
      <w:bookmarkStart w:id="3" w:name="_Toc77261176"/>
      <w:r>
        <w:rPr>
          <w:rFonts w:hint="eastAsia" w:ascii="Times New Roman" w:hAnsi="Times New Roman" w:eastAsia="楷体_GB2312" w:cs="Times New Roman"/>
          <w:color w:val="auto"/>
          <w:kern w:val="0"/>
        </w:rPr>
        <w:t>第二节  “十四五”时期面临的发展形势</w:t>
      </w:r>
      <w:bookmarkEnd w:id="3"/>
    </w:p>
    <w:p>
      <w:pPr>
        <w:pStyle w:val="36"/>
        <w:ind w:firstLine="640"/>
        <w:rPr>
          <w:rFonts w:ascii="仿宋_GB2312" w:eastAsia="仿宋_GB2312"/>
          <w:color w:val="auto"/>
        </w:rPr>
      </w:pPr>
      <w:r>
        <w:rPr>
          <w:rFonts w:hint="eastAsia" w:ascii="仿宋_GB2312" w:eastAsia="仿宋_GB2312"/>
          <w:color w:val="auto"/>
        </w:rPr>
        <w:t>“十四五”时期，全球将面临的巨大的变革，国际国内形势都在发生复杂而深刻的重大变化，市场监管不稳定不确定因素增加，新技术和新发展战略调整效益叠加，</w:t>
      </w:r>
      <w:r>
        <w:rPr>
          <w:rFonts w:hint="eastAsia" w:ascii="仿宋_GB2312" w:eastAsia="仿宋_GB2312"/>
          <w:color w:val="auto"/>
          <w:lang w:eastAsia="zh-CN"/>
        </w:rPr>
        <w:t>市场</w:t>
      </w:r>
      <w:r>
        <w:rPr>
          <w:rFonts w:hint="eastAsia" w:ascii="仿宋_GB2312" w:eastAsia="仿宋_GB2312"/>
          <w:color w:val="auto"/>
        </w:rPr>
        <w:t>监管</w:t>
      </w:r>
      <w:r>
        <w:rPr>
          <w:rFonts w:hint="eastAsia" w:ascii="仿宋_GB2312" w:eastAsia="仿宋_GB2312"/>
          <w:color w:val="auto"/>
          <w:lang w:eastAsia="zh-CN"/>
        </w:rPr>
        <w:t>现代化</w:t>
      </w:r>
      <w:r>
        <w:rPr>
          <w:rFonts w:hint="eastAsia" w:ascii="仿宋_GB2312" w:eastAsia="仿宋_GB2312"/>
          <w:color w:val="auto"/>
        </w:rPr>
        <w:t>将迎来新的机遇和挑战，工作任重而道远。</w:t>
      </w:r>
    </w:p>
    <w:p>
      <w:pPr>
        <w:pStyle w:val="36"/>
        <w:ind w:firstLine="640"/>
        <w:jc w:val="both"/>
        <w:rPr>
          <w:rFonts w:ascii="仿宋_GB2312" w:eastAsia="仿宋_GB2312"/>
          <w:snapToGrid w:val="0"/>
          <w:color w:val="auto"/>
          <w:lang w:bidi="ar"/>
        </w:rPr>
      </w:pPr>
      <w:r>
        <w:rPr>
          <w:rFonts w:hint="eastAsia" w:ascii="仿宋_GB2312" w:eastAsia="仿宋_GB2312"/>
          <w:b/>
          <w:bCs/>
          <w:snapToGrid w:val="0"/>
          <w:color w:val="auto"/>
          <w:lang w:bidi="ar"/>
        </w:rPr>
        <w:t>面临的机遇和优势：</w:t>
      </w:r>
      <w:r>
        <w:rPr>
          <w:rFonts w:hint="eastAsia" w:ascii="仿宋_GB2312" w:eastAsia="仿宋_GB2312"/>
          <w:snapToGrid w:val="0"/>
          <w:color w:val="auto"/>
          <w:lang w:bidi="ar"/>
        </w:rPr>
        <w:t>深刻认识当前和今后一个时期市场监管面临前所未有的机遇。</w:t>
      </w:r>
      <w:r>
        <w:rPr>
          <w:rFonts w:hint="eastAsia" w:ascii="仿宋_GB2312" w:eastAsia="仿宋_GB2312"/>
          <w:b/>
          <w:bCs/>
          <w:snapToGrid w:val="0"/>
          <w:color w:val="auto"/>
          <w:lang w:bidi="ar"/>
        </w:rPr>
        <w:t>从国际形势看</w:t>
      </w:r>
      <w:r>
        <w:rPr>
          <w:rFonts w:hint="eastAsia" w:ascii="仿宋_GB2312" w:eastAsia="仿宋_GB2312"/>
          <w:snapToGrid w:val="0"/>
          <w:color w:val="auto"/>
          <w:lang w:bidi="ar"/>
        </w:rPr>
        <w:t>，深刻把握全球新一轮科技革命和产业革命深入发展，数字时代加速到来，将推动生产生活方式发生前所未来的变革的趋势，把市场监管工作融入全球大市场中思考和谋划。</w:t>
      </w:r>
      <w:r>
        <w:rPr>
          <w:rFonts w:hint="eastAsia" w:ascii="仿宋_GB2312" w:eastAsia="仿宋_GB2312"/>
          <w:b/>
          <w:bCs/>
          <w:snapToGrid w:val="0"/>
          <w:color w:val="auto"/>
          <w:lang w:bidi="ar"/>
        </w:rPr>
        <w:t>从国内形势看，</w:t>
      </w:r>
      <w:r>
        <w:rPr>
          <w:rFonts w:hint="eastAsia" w:ascii="仿宋_GB2312" w:eastAsia="仿宋_GB2312"/>
          <w:snapToGrid w:val="0"/>
          <w:color w:val="auto"/>
          <w:lang w:bidi="ar"/>
        </w:rPr>
        <w:t>深刻把握构建以国内大循环为主体、国内国际双循环相互促进的新发展格局重大机遇，立足我省</w:t>
      </w:r>
      <w:r>
        <w:rPr>
          <w:rFonts w:hint="eastAsia" w:ascii="仿宋_GB2312" w:eastAsia="仿宋_GB2312"/>
          <w:snapToGrid w:val="0"/>
          <w:color w:val="auto"/>
          <w:lang w:eastAsia="zh-CN" w:bidi="ar"/>
        </w:rPr>
        <w:t>西部大开发、“一带一路”、</w:t>
      </w:r>
      <w:r>
        <w:rPr>
          <w:rFonts w:hint="eastAsia" w:ascii="仿宋_GB2312" w:eastAsia="仿宋_GB2312"/>
          <w:snapToGrid w:val="0"/>
          <w:color w:val="auto"/>
          <w:lang w:bidi="ar"/>
        </w:rPr>
        <w:t>成渝地区双城经济圈建设</w:t>
      </w:r>
      <w:r>
        <w:rPr>
          <w:rFonts w:hint="eastAsia" w:ascii="仿宋_GB2312" w:eastAsia="仿宋_GB2312"/>
          <w:snapToGrid w:val="0"/>
          <w:color w:val="auto"/>
          <w:lang w:eastAsia="zh-CN" w:bidi="ar"/>
        </w:rPr>
        <w:t>等重大部署</w:t>
      </w:r>
      <w:r>
        <w:rPr>
          <w:rFonts w:hint="eastAsia" w:ascii="仿宋_GB2312" w:eastAsia="仿宋_GB2312"/>
          <w:snapToGrid w:val="0"/>
          <w:color w:val="auto"/>
          <w:lang w:bidi="ar"/>
        </w:rPr>
        <w:t>，服务建设更高水平现代化经济体系、打造新发展格局战略支点</w:t>
      </w:r>
      <w:r>
        <w:rPr>
          <w:rFonts w:hint="eastAsia" w:ascii="仿宋_GB2312" w:eastAsia="仿宋_GB2312"/>
          <w:snapToGrid w:val="0"/>
          <w:color w:val="auto"/>
          <w:lang w:eastAsia="zh-CN" w:bidi="ar"/>
        </w:rPr>
        <w:t>，为</w:t>
      </w:r>
      <w:r>
        <w:rPr>
          <w:rFonts w:hint="eastAsia" w:ascii="仿宋_GB2312" w:eastAsia="仿宋_GB2312"/>
          <w:snapToGrid w:val="0"/>
          <w:color w:val="auto"/>
          <w:lang w:bidi="ar"/>
        </w:rPr>
        <w:t>市场监管</w:t>
      </w:r>
      <w:r>
        <w:rPr>
          <w:rFonts w:hint="eastAsia" w:ascii="仿宋_GB2312" w:eastAsia="仿宋_GB2312"/>
          <w:snapToGrid w:val="0"/>
          <w:color w:val="auto"/>
          <w:lang w:eastAsia="zh-CN" w:bidi="ar"/>
        </w:rPr>
        <w:t>工作带来新空间。</w:t>
      </w:r>
      <w:r>
        <w:rPr>
          <w:rFonts w:hint="eastAsia" w:ascii="仿宋_GB2312" w:eastAsia="仿宋_GB2312"/>
          <w:b/>
          <w:bCs/>
          <w:snapToGrid w:val="0"/>
          <w:color w:val="auto"/>
          <w:lang w:bidi="ar"/>
        </w:rPr>
        <w:t>从我市实际情况看</w:t>
      </w:r>
      <w:r>
        <w:rPr>
          <w:rFonts w:hint="eastAsia" w:ascii="仿宋_GB2312" w:eastAsia="仿宋_GB2312"/>
          <w:snapToGrid w:val="0"/>
          <w:color w:val="auto"/>
          <w:lang w:bidi="ar"/>
        </w:rPr>
        <w:t>，深刻把握乐山“旅游兴市、产业强市”的发展主线，以</w:t>
      </w:r>
      <w:r>
        <w:rPr>
          <w:rFonts w:hint="eastAsia" w:ascii="仿宋_GB2312" w:eastAsia="仿宋_GB2312"/>
          <w:b w:val="0"/>
          <w:bCs w:val="0"/>
          <w:snapToGrid w:val="0"/>
          <w:color w:val="auto"/>
          <w:lang w:bidi="ar"/>
        </w:rPr>
        <w:t>“一极一地一市一城一枢纽”</w:t>
      </w:r>
      <w:r>
        <w:rPr>
          <w:rStyle w:val="26"/>
          <w:rFonts w:hint="eastAsia" w:ascii="仿宋_GB2312" w:eastAsia="仿宋_GB2312"/>
          <w:b w:val="0"/>
          <w:bCs w:val="0"/>
          <w:snapToGrid w:val="0"/>
          <w:color w:val="auto"/>
          <w:lang w:bidi="ar"/>
        </w:rPr>
        <w:footnoteReference w:id="2"/>
      </w:r>
      <w:r>
        <w:rPr>
          <w:rFonts w:hint="eastAsia" w:ascii="仿宋_GB2312" w:eastAsia="仿宋_GB2312"/>
          <w:snapToGrid w:val="0"/>
          <w:color w:val="auto"/>
          <w:lang w:bidi="ar"/>
        </w:rPr>
        <w:t>新时代发展定位为引领，以融入成渝地区双城经济圈建设、乐山建设世界重要旅游目的地、打造全光伏产业链为重点的“中国绿色硅谷”、争创全省经济副中心为契机，充分发挥市场监管职能作用，坚持创新驱动引领高质量发展，不断推进市场监管水平和治理能力现代化，为全面建设社会主义现代化乐山营造良好市场环境。</w:t>
      </w:r>
      <w:bookmarkStart w:id="4" w:name="_Toc75794331"/>
      <w:bookmarkStart w:id="5" w:name="_Toc75794431"/>
    </w:p>
    <w:p>
      <w:pPr>
        <w:pStyle w:val="36"/>
        <w:ind w:firstLine="640"/>
        <w:jc w:val="both"/>
        <w:rPr>
          <w:rFonts w:ascii="仿宋_GB2312" w:eastAsia="仿宋_GB2312"/>
          <w:snapToGrid w:val="0"/>
          <w:color w:val="auto"/>
          <w:lang w:bidi="ar"/>
        </w:rPr>
        <w:sectPr>
          <w:pgSz w:w="11906" w:h="16838"/>
          <w:pgMar w:top="1440" w:right="1440" w:bottom="1440" w:left="1440" w:header="851" w:footer="992" w:gutter="0"/>
          <w:pgNumType w:fmt="decimal" w:chapStyle="1" w:chapSep="emDash"/>
          <w:cols w:space="425" w:num="1"/>
          <w:docGrid w:type="lines" w:linePitch="312" w:charSpace="0"/>
        </w:sectPr>
      </w:pPr>
      <w:r>
        <w:rPr>
          <w:rFonts w:hint="eastAsia" w:ascii="仿宋_GB2312" w:eastAsia="仿宋_GB2312"/>
          <w:b/>
          <w:bCs/>
          <w:snapToGrid w:val="0"/>
          <w:color w:val="auto"/>
          <w:lang w:bidi="ar"/>
        </w:rPr>
        <w:t>面临的挑战和困难：从全球宏观来看，</w:t>
      </w:r>
      <w:r>
        <w:rPr>
          <w:rFonts w:hint="eastAsia" w:ascii="仿宋_GB2312" w:eastAsia="仿宋_GB2312"/>
          <w:snapToGrid w:val="0"/>
          <w:color w:val="auto"/>
          <w:lang w:bidi="ar"/>
        </w:rPr>
        <w:t>国际贸易和全球宏观环境日趋复杂，保护主义、单边主义上升，世界进入动荡变革期，新冠肺炎疫情影响广泛深远，世界经济低迷。十四五期间</w:t>
      </w:r>
      <w:r>
        <w:rPr>
          <w:rFonts w:hint="eastAsia" w:ascii="仿宋_GB2312" w:eastAsia="仿宋_GB2312"/>
          <w:snapToGrid w:val="0"/>
          <w:color w:val="auto"/>
          <w:lang w:eastAsia="zh-CN" w:bidi="ar"/>
        </w:rPr>
        <w:t>，国际环境</w:t>
      </w:r>
      <w:r>
        <w:rPr>
          <w:rFonts w:hint="eastAsia" w:ascii="仿宋_GB2312" w:eastAsia="仿宋_GB2312"/>
          <w:snapToGrid w:val="0"/>
          <w:color w:val="auto"/>
          <w:lang w:bidi="ar"/>
        </w:rPr>
        <w:t>形势将更加紧迫和复杂。</w:t>
      </w:r>
      <w:r>
        <w:rPr>
          <w:rFonts w:hint="eastAsia" w:ascii="仿宋_GB2312" w:eastAsia="仿宋_GB2312"/>
          <w:b/>
          <w:bCs/>
          <w:snapToGrid w:val="0"/>
          <w:color w:val="auto"/>
          <w:lang w:bidi="ar"/>
        </w:rPr>
        <w:t>从国内宏观来看，</w:t>
      </w:r>
      <w:r>
        <w:rPr>
          <w:rFonts w:hint="eastAsia" w:ascii="仿宋_GB2312" w:eastAsia="仿宋_GB2312"/>
          <w:snapToGrid w:val="0"/>
          <w:color w:val="auto"/>
          <w:lang w:bidi="ar"/>
        </w:rPr>
        <w:t>国内社会经济结构调整再升级，坚定实施扩大内需战略，加强国内大循环为主体，</w:t>
      </w:r>
      <w:r>
        <w:rPr>
          <w:rFonts w:hint="eastAsia" w:ascii="仿宋_GB2312" w:eastAsia="仿宋_GB2312"/>
          <w:color w:val="auto"/>
        </w:rPr>
        <w:t>“十四五期间”我国将处于</w:t>
      </w:r>
      <w:r>
        <w:rPr>
          <w:rFonts w:hint="eastAsia" w:ascii="仿宋_GB2312" w:eastAsia="仿宋_GB2312"/>
          <w:snapToGrid w:val="0"/>
          <w:color w:val="auto"/>
          <w:lang w:bidi="ar"/>
        </w:rPr>
        <w:t>高质量发展的重要阶段，人民群众对美好生活的向往、产业升级、业态创新和消费升级持续加快，商品和服务市场规模持续扩大，对市场监管体系的成熟性和适应性提出了新要求。</w:t>
      </w:r>
      <w:r>
        <w:rPr>
          <w:rFonts w:hint="eastAsia" w:ascii="仿宋_GB2312" w:eastAsia="仿宋_GB2312"/>
          <w:b/>
          <w:bCs/>
          <w:color w:val="auto"/>
        </w:rPr>
        <w:t>从市场监管形势来看，</w:t>
      </w:r>
      <w:r>
        <w:rPr>
          <w:rFonts w:hint="eastAsia" w:ascii="仿宋_GB2312" w:eastAsia="仿宋_GB2312"/>
          <w:snapToGrid w:val="0"/>
          <w:color w:val="auto"/>
          <w:lang w:bidi="ar"/>
        </w:rPr>
        <w:t>市场监管仍处于全面深化改革攻坚期，</w:t>
      </w:r>
      <w:r>
        <w:rPr>
          <w:rFonts w:hint="eastAsia" w:ascii="仿宋_GB2312" w:eastAsia="仿宋_GB2312"/>
          <w:snapToGrid w:val="0"/>
          <w:color w:val="auto"/>
          <w:lang w:eastAsia="zh-CN" w:bidi="ar"/>
        </w:rPr>
        <w:t>还面临不少的困难和问题。</w:t>
      </w:r>
      <w:r>
        <w:rPr>
          <w:rFonts w:hint="eastAsia" w:ascii="仿宋_GB2312" w:eastAsia="仿宋_GB2312"/>
          <w:snapToGrid w:val="0"/>
          <w:color w:val="auto"/>
          <w:lang w:bidi="ar"/>
        </w:rPr>
        <w:t>市场领域风险易发多</w:t>
      </w:r>
      <w:r>
        <w:rPr>
          <w:rFonts w:hint="eastAsia" w:ascii="仿宋_GB2312" w:eastAsia="仿宋_GB2312"/>
          <w:snapToGrid w:val="0"/>
          <w:color w:val="auto"/>
          <w:lang w:eastAsia="zh-CN" w:bidi="ar"/>
        </w:rPr>
        <w:t>发，</w:t>
      </w:r>
      <w:r>
        <w:rPr>
          <w:rFonts w:hint="eastAsia" w:ascii="仿宋_GB2312" w:eastAsia="仿宋_GB2312"/>
          <w:snapToGrid w:val="0"/>
          <w:color w:val="auto"/>
          <w:lang w:bidi="ar"/>
        </w:rPr>
        <w:t>假冒伪劣、虚假宣传、价格违法行为等问题时有发生；市场竞争不充分与过度竞争的并存；食品、药品、产品质量、特种设备等安全监管面临不少风险隐患，市场安全风险隐患防控任务艰巨。消费者权益保护存在短板</w:t>
      </w:r>
      <w:r>
        <w:rPr>
          <w:rFonts w:hint="eastAsia" w:ascii="仿宋_GB2312" w:eastAsia="仿宋_GB2312"/>
          <w:snapToGrid w:val="0"/>
          <w:color w:val="auto"/>
          <w:lang w:eastAsia="zh-CN" w:bidi="ar"/>
        </w:rPr>
        <w:t>。</w:t>
      </w:r>
      <w:r>
        <w:rPr>
          <w:rFonts w:hint="eastAsia" w:ascii="仿宋_GB2312" w:eastAsia="仿宋_GB2312"/>
          <w:snapToGrid w:val="0"/>
          <w:color w:val="auto"/>
          <w:lang w:bidi="ar"/>
        </w:rPr>
        <w:t>各方责任落实不到位，丰富监管的办法不多，一些违法问题久打不绝。基层基础薄弱问题依然存</w:t>
      </w:r>
      <w:r>
        <w:rPr>
          <w:rFonts w:hint="eastAsia" w:ascii="仿宋_GB2312" w:eastAsia="仿宋_GB2312"/>
          <w:snapToGrid w:val="0"/>
          <w:color w:val="auto"/>
          <w:lang w:eastAsia="zh-CN" w:bidi="ar"/>
        </w:rPr>
        <w:t>在。</w:t>
      </w:r>
      <w:r>
        <w:rPr>
          <w:rFonts w:hint="eastAsia" w:ascii="仿宋_GB2312" w:eastAsia="仿宋_GB2312"/>
          <w:snapToGrid w:val="0"/>
          <w:color w:val="auto"/>
          <w:lang w:bidi="ar"/>
        </w:rPr>
        <w:t>市场监管基层组织和人才队伍方面还比较薄弱，综合执法与市场监管的合力尚未形成</w:t>
      </w:r>
      <w:r>
        <w:rPr>
          <w:rFonts w:hint="eastAsia" w:ascii="仿宋_GB2312" w:eastAsia="仿宋_GB2312"/>
          <w:snapToGrid w:val="0"/>
          <w:color w:val="auto"/>
          <w:lang w:eastAsia="zh-CN" w:bidi="ar"/>
        </w:rPr>
        <w:t>。上述问题，要求我们</w:t>
      </w:r>
      <w:r>
        <w:rPr>
          <w:rFonts w:hint="eastAsia" w:ascii="仿宋_GB2312" w:eastAsia="仿宋_GB2312"/>
          <w:snapToGrid w:val="0"/>
          <w:color w:val="auto"/>
          <w:lang w:bidi="ar"/>
        </w:rPr>
        <w:t>必须以更加科学的方法补齐短板，以更加顽强的意志攻坚克难，以更大的魄力探索实践，不断推进市场监管事业改革发展，努力在危机中育先机、于变局中开新局</w:t>
      </w:r>
      <w:r>
        <w:rPr>
          <w:rFonts w:hint="eastAsia" w:ascii="仿宋_GB2312" w:eastAsia="仿宋_GB2312"/>
          <w:snapToGrid w:val="0"/>
          <w:color w:val="auto"/>
          <w:lang w:eastAsia="zh-CN" w:bidi="ar"/>
        </w:rPr>
        <w:t>，不断推进市场监管体系和治理能力现代化</w:t>
      </w:r>
      <w:r>
        <w:rPr>
          <w:rFonts w:hint="eastAsia" w:ascii="仿宋_GB2312" w:eastAsia="仿宋_GB2312"/>
          <w:snapToGrid w:val="0"/>
          <w:color w:val="auto"/>
          <w:lang w:bidi="ar"/>
        </w:rPr>
        <w:t>。</w:t>
      </w:r>
      <w:bookmarkEnd w:id="4"/>
      <w:bookmarkEnd w:id="5"/>
    </w:p>
    <w:p>
      <w:pPr>
        <w:pStyle w:val="3"/>
        <w:rPr>
          <w:rFonts w:ascii="Times New Roman" w:hAnsi="Times New Roman" w:eastAsia="楷体_GB2312" w:cs="Times New Roman"/>
          <w:color w:val="auto"/>
          <w:kern w:val="0"/>
          <w:sz w:val="32"/>
          <w:szCs w:val="32"/>
        </w:rPr>
      </w:pPr>
      <w:bookmarkStart w:id="6" w:name="_Toc77261177"/>
      <w:r>
        <w:rPr>
          <w:rFonts w:ascii="Times New Roman" w:hAnsi="Times New Roman" w:eastAsia="黑体" w:cs="Times New Roman"/>
          <w:color w:val="auto"/>
          <w:kern w:val="0"/>
          <w:sz w:val="32"/>
          <w:szCs w:val="32"/>
        </w:rPr>
        <w:t>第二章  总体要求</w:t>
      </w:r>
      <w:bookmarkEnd w:id="6"/>
    </w:p>
    <w:p>
      <w:pPr>
        <w:pStyle w:val="5"/>
        <w:ind w:firstLine="3229" w:firstLineChars="1005"/>
        <w:jc w:val="both"/>
        <w:rPr>
          <w:rFonts w:ascii="Times New Roman" w:hAnsi="Times New Roman" w:cs="Times New Roman"/>
          <w:color w:val="auto"/>
          <w:kern w:val="0"/>
        </w:rPr>
      </w:pPr>
      <w:bookmarkStart w:id="7" w:name="_Toc77261178"/>
      <w:r>
        <w:rPr>
          <w:rFonts w:ascii="Times New Roman" w:hAnsi="Times New Roman" w:eastAsia="楷体_GB2312" w:cs="Times New Roman"/>
          <w:color w:val="auto"/>
          <w:kern w:val="0"/>
        </w:rPr>
        <w:t>第一节  指导思想</w:t>
      </w:r>
      <w:bookmarkEnd w:id="7"/>
    </w:p>
    <w:p>
      <w:pPr>
        <w:pStyle w:val="36"/>
        <w:ind w:firstLine="640"/>
        <w:rPr>
          <w:rFonts w:ascii="仿宋_GB2312" w:eastAsia="仿宋_GB2312"/>
          <w:b/>
          <w:bCs/>
          <w:snapToGrid w:val="0"/>
          <w:color w:val="auto"/>
          <w:lang w:bidi="ar"/>
        </w:rPr>
      </w:pPr>
      <w:bookmarkStart w:id="8" w:name="_Toc75794334"/>
      <w:bookmarkStart w:id="9" w:name="_Toc75794434"/>
      <w:r>
        <w:rPr>
          <w:rFonts w:hint="eastAsia" w:ascii="仿宋_GB2312" w:eastAsia="仿宋_GB2312"/>
          <w:snapToGrid w:val="0"/>
          <w:color w:val="auto"/>
          <w:lang w:bidi="ar"/>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深入贯彻习近平总书记对四川工作和市场监管工作的系列重要讲话和重要指示批示精神，统筹推进“五位一体”总体布局，协调推进“四个全面”战略布局，立足新发展阶段，贯彻新发展理念，服务新发展格局，以推动高质量发展为主线，以改革创新为根本动力，以满足人民日益增长的美好生活需要为根本目的，着力完善市场准入基础性制度，着力维护市场公平竞争秩序，着力构建现</w:t>
      </w:r>
      <w:r>
        <w:rPr>
          <w:rFonts w:hint="eastAsia" w:ascii="仿宋_GB2312" w:eastAsia="仿宋_GB2312"/>
          <w:snapToGrid w:val="0"/>
          <w:color w:val="auto"/>
          <w:lang w:eastAsia="zh-CN" w:bidi="ar"/>
        </w:rPr>
        <w:t>代</w:t>
      </w:r>
      <w:r>
        <w:rPr>
          <w:rFonts w:hint="eastAsia" w:ascii="仿宋_GB2312" w:eastAsia="仿宋_GB2312"/>
          <w:snapToGrid w:val="0"/>
          <w:color w:val="auto"/>
          <w:lang w:bidi="ar"/>
        </w:rPr>
        <w:t>化市场监管体系。积极探索具有乐山特色的市场监管新模式，全面提升市场监管现代化水平，为加快建设适应新发展格局的高标准市场体系，为推动社会主义现代化乐山建设提供有力支撑。</w:t>
      </w:r>
      <w:bookmarkEnd w:id="8"/>
      <w:bookmarkEnd w:id="9"/>
    </w:p>
    <w:p>
      <w:pPr>
        <w:pStyle w:val="5"/>
        <w:ind w:firstLine="643"/>
        <w:jc w:val="center"/>
        <w:rPr>
          <w:rFonts w:ascii="Times New Roman" w:hAnsi="Times New Roman" w:eastAsia="楷体_GB2312" w:cs="Times New Roman"/>
          <w:color w:val="auto"/>
          <w:kern w:val="0"/>
        </w:rPr>
      </w:pPr>
      <w:bookmarkStart w:id="10" w:name="_Toc77261179"/>
      <w:r>
        <w:rPr>
          <w:rFonts w:ascii="Times New Roman" w:hAnsi="Times New Roman" w:eastAsia="楷体_GB2312" w:cs="Times New Roman"/>
          <w:color w:val="auto"/>
          <w:kern w:val="0"/>
        </w:rPr>
        <w:t>第二节  基本原则</w:t>
      </w:r>
      <w:bookmarkEnd w:id="10"/>
    </w:p>
    <w:p>
      <w:pPr>
        <w:pStyle w:val="36"/>
        <w:ind w:firstLine="640"/>
        <w:rPr>
          <w:rFonts w:ascii="仿宋_GB2312" w:eastAsia="仿宋_GB2312"/>
          <w:snapToGrid w:val="0"/>
          <w:color w:val="auto"/>
          <w:lang w:bidi="ar"/>
        </w:rPr>
      </w:pPr>
      <w:r>
        <w:rPr>
          <w:rFonts w:hint="eastAsia" w:ascii="仿宋_GB2312" w:eastAsia="仿宋_GB2312"/>
          <w:b/>
          <w:bCs/>
          <w:snapToGrid w:val="0"/>
          <w:color w:val="auto"/>
          <w:lang w:bidi="ar"/>
        </w:rPr>
        <w:t>——坚持党的全面领导。</w:t>
      </w:r>
      <w:r>
        <w:rPr>
          <w:rFonts w:hint="eastAsia" w:ascii="仿宋_GB2312" w:eastAsia="仿宋_GB2312"/>
          <w:snapToGrid w:val="0"/>
          <w:color w:val="auto"/>
          <w:lang w:bidi="ar"/>
        </w:rPr>
        <w:t>把党的领导贯穿市场监管事业发展全方面全过程，不断提高贯彻新发展理念、构建新发展格局的能力和水平，为市场监管高质量发展提供根本保证。</w:t>
      </w:r>
    </w:p>
    <w:p>
      <w:pPr>
        <w:pStyle w:val="36"/>
        <w:ind w:firstLine="640"/>
        <w:rPr>
          <w:rFonts w:ascii="仿宋_GB2312" w:eastAsia="仿宋_GB2312"/>
          <w:snapToGrid w:val="0"/>
          <w:color w:val="auto"/>
          <w:lang w:bidi="ar"/>
        </w:rPr>
      </w:pPr>
      <w:r>
        <w:rPr>
          <w:rFonts w:hint="eastAsia" w:ascii="仿宋_GB2312" w:eastAsia="仿宋_GB2312"/>
          <w:b/>
          <w:bCs/>
          <w:snapToGrid w:val="0"/>
          <w:color w:val="auto"/>
          <w:lang w:bidi="ar"/>
        </w:rPr>
        <w:t>——坚持以人民为中心。</w:t>
      </w:r>
      <w:r>
        <w:rPr>
          <w:rFonts w:hint="eastAsia" w:ascii="仿宋_GB2312" w:eastAsia="仿宋_GB2312"/>
          <w:snapToGrid w:val="0"/>
          <w:color w:val="auto"/>
          <w:lang w:bidi="ar"/>
        </w:rPr>
        <w:t>把维护广大人民群众利益作为市场监管的出发点和落脚点，立足市场监管职能，解决好人民群众最关心、最急迫、最现实的利益问题，让人民群众买得放心、吃得放心、用的安全，不断满足人民群众对美好生活的向往。</w:t>
      </w:r>
    </w:p>
    <w:p>
      <w:pPr>
        <w:pStyle w:val="36"/>
        <w:ind w:firstLine="640"/>
        <w:rPr>
          <w:rFonts w:ascii="仿宋_GB2312" w:eastAsia="仿宋_GB2312"/>
          <w:snapToGrid w:val="0"/>
          <w:color w:val="auto"/>
          <w:lang w:bidi="ar"/>
        </w:rPr>
      </w:pPr>
      <w:r>
        <w:rPr>
          <w:rFonts w:hint="eastAsia" w:ascii="仿宋_GB2312" w:eastAsia="仿宋_GB2312"/>
          <w:b/>
          <w:bCs/>
          <w:snapToGrid w:val="0"/>
          <w:color w:val="auto"/>
          <w:lang w:bidi="ar"/>
        </w:rPr>
        <w:t>——坚持改革创新引领。</w:t>
      </w:r>
      <w:r>
        <w:rPr>
          <w:rFonts w:hint="eastAsia" w:ascii="仿宋_GB2312" w:eastAsia="仿宋_GB2312"/>
          <w:snapToGrid w:val="0"/>
          <w:color w:val="auto"/>
          <w:lang w:bidi="ar"/>
        </w:rPr>
        <w:t>适应市场经济发展趋势，不断融入新发展理念，更新监管理念，实施依法公正、简约高效、宽严相济的监管，构建创新市场监管</w:t>
      </w:r>
      <w:r>
        <w:rPr>
          <w:rFonts w:hint="eastAsia" w:ascii="仿宋_GB2312" w:eastAsia="仿宋_GB2312"/>
          <w:snapToGrid w:val="0"/>
          <w:color w:val="auto"/>
          <w:lang w:eastAsia="zh-CN" w:bidi="ar"/>
        </w:rPr>
        <w:t>机制</w:t>
      </w:r>
      <w:r>
        <w:rPr>
          <w:rFonts w:hint="eastAsia" w:ascii="仿宋_GB2312" w:eastAsia="仿宋_GB2312"/>
          <w:snapToGrid w:val="0"/>
          <w:color w:val="auto"/>
          <w:lang w:bidi="ar"/>
        </w:rPr>
        <w:t>，引入新型监管手段，促进市场监管能力和水平的现代化，激发市场主体活力和社会创造力。</w:t>
      </w:r>
    </w:p>
    <w:p>
      <w:pPr>
        <w:pStyle w:val="36"/>
        <w:ind w:firstLine="640"/>
        <w:rPr>
          <w:rFonts w:ascii="仿宋_GB2312" w:eastAsia="仿宋_GB2312"/>
          <w:snapToGrid w:val="0"/>
          <w:color w:val="auto"/>
          <w:lang w:bidi="ar"/>
        </w:rPr>
      </w:pPr>
      <w:r>
        <w:rPr>
          <w:rFonts w:hint="eastAsia" w:ascii="仿宋_GB2312" w:eastAsia="仿宋_GB2312"/>
          <w:b/>
          <w:bCs/>
          <w:snapToGrid w:val="0"/>
          <w:color w:val="auto"/>
          <w:lang w:bidi="ar"/>
        </w:rPr>
        <w:t>——坚持维护公平竞争。</w:t>
      </w:r>
      <w:r>
        <w:rPr>
          <w:rFonts w:hint="eastAsia" w:ascii="仿宋_GB2312" w:eastAsia="仿宋_GB2312"/>
          <w:snapToGrid w:val="0"/>
          <w:color w:val="auto"/>
          <w:lang w:bidi="ar"/>
        </w:rPr>
        <w:t>坚持权责法定、依法行政，依法保护各类市场主体合法权益，坚决破除妨碍公平竞争的体制机制障碍，确保权利公平、机会公平、规则公平，营造公平竞争的市场环境，促进市场竞争的高质量发展。</w:t>
      </w:r>
    </w:p>
    <w:p>
      <w:pPr>
        <w:pStyle w:val="36"/>
        <w:ind w:firstLine="640"/>
        <w:rPr>
          <w:rFonts w:ascii="仿宋_GB2312" w:eastAsia="仿宋_GB2312"/>
          <w:snapToGrid w:val="0"/>
          <w:color w:val="auto"/>
          <w:lang w:bidi="ar"/>
        </w:rPr>
      </w:pPr>
      <w:r>
        <w:rPr>
          <w:rFonts w:hint="eastAsia" w:ascii="仿宋_GB2312" w:eastAsia="仿宋_GB2312"/>
          <w:b/>
          <w:bCs/>
          <w:snapToGrid w:val="0"/>
          <w:color w:val="auto"/>
          <w:lang w:bidi="ar"/>
        </w:rPr>
        <w:t>——坚持科学系统监管。</w:t>
      </w:r>
      <w:r>
        <w:rPr>
          <w:rFonts w:hint="eastAsia" w:ascii="仿宋_GB2312" w:eastAsia="仿宋_GB2312"/>
          <w:snapToGrid w:val="0"/>
          <w:color w:val="auto"/>
          <w:lang w:bidi="ar"/>
        </w:rPr>
        <w:t>统筹安全与发展，对产品和服务、主体和行为等各类对象，科学运用市场、行政、法律、技术、标准、信用等手段，实行，实现线上和线下监管，全面提升市场综合监管效能。</w:t>
      </w:r>
    </w:p>
    <w:p>
      <w:pPr>
        <w:pStyle w:val="36"/>
        <w:ind w:firstLine="640"/>
        <w:rPr>
          <w:rFonts w:ascii="仿宋_GB2312" w:eastAsia="仿宋_GB2312"/>
          <w:snapToGrid w:val="0"/>
          <w:color w:val="auto"/>
          <w:lang w:bidi="ar"/>
        </w:rPr>
      </w:pPr>
      <w:r>
        <w:rPr>
          <w:rFonts w:hint="eastAsia" w:ascii="仿宋_GB2312" w:eastAsia="仿宋_GB2312"/>
          <w:b/>
          <w:bCs/>
          <w:snapToGrid w:val="0"/>
          <w:color w:val="auto"/>
          <w:lang w:bidi="ar"/>
        </w:rPr>
        <w:t>——坚持协同共治监管。</w:t>
      </w:r>
      <w:r>
        <w:rPr>
          <w:rFonts w:hint="eastAsia" w:ascii="仿宋_GB2312" w:eastAsia="仿宋_GB2312"/>
          <w:snapToGrid w:val="0"/>
          <w:color w:val="auto"/>
          <w:lang w:bidi="ar"/>
        </w:rPr>
        <w:t>落实企业、地方、监管部门和社会多方责任，科学划分各级政府及其部门监管职责，厘清监管责任，统筹协同政府和社会、监管</w:t>
      </w:r>
      <w:r>
        <w:rPr>
          <w:rFonts w:hint="eastAsia" w:ascii="仿宋_GB2312" w:eastAsia="仿宋_GB2312"/>
          <w:snapToGrid w:val="0"/>
          <w:color w:val="auto"/>
          <w:lang w:eastAsia="zh-CN" w:bidi="ar"/>
        </w:rPr>
        <w:t>、</w:t>
      </w:r>
      <w:r>
        <w:rPr>
          <w:rFonts w:hint="eastAsia" w:ascii="仿宋_GB2312" w:eastAsia="仿宋_GB2312"/>
          <w:snapToGrid w:val="0"/>
          <w:color w:val="auto"/>
          <w:lang w:bidi="ar"/>
        </w:rPr>
        <w:t>监督</w:t>
      </w:r>
      <w:r>
        <w:rPr>
          <w:rFonts w:hint="eastAsia" w:ascii="仿宋_GB2312" w:eastAsia="仿宋_GB2312"/>
          <w:snapToGrid w:val="0"/>
          <w:color w:val="auto"/>
          <w:lang w:eastAsia="zh-CN" w:bidi="ar"/>
        </w:rPr>
        <w:t>和行业协会</w:t>
      </w:r>
      <w:r>
        <w:rPr>
          <w:rFonts w:hint="eastAsia" w:ascii="仿宋_GB2312" w:eastAsia="仿宋_GB2312"/>
          <w:snapToGrid w:val="0"/>
          <w:color w:val="auto"/>
          <w:lang w:bidi="ar"/>
        </w:rPr>
        <w:t>等各方力量，强化市场监管领域各部门之间的协调配合，建立互为支撑的覆盖全领域、全流程的市场监管多元共治机制。</w:t>
      </w:r>
      <w:bookmarkStart w:id="11" w:name="_Toc73800622"/>
    </w:p>
    <w:p>
      <w:pPr>
        <w:pStyle w:val="36"/>
        <w:ind w:firstLine="640"/>
        <w:rPr>
          <w:rFonts w:ascii="Times New Roman" w:hAnsi="Times New Roman" w:eastAsia="楷体_GB2312" w:cs="Times New Roman"/>
          <w:color w:val="auto"/>
        </w:rPr>
      </w:pPr>
    </w:p>
    <w:p>
      <w:pPr>
        <w:pStyle w:val="36"/>
        <w:ind w:firstLine="640"/>
        <w:rPr>
          <w:rFonts w:ascii="Times New Roman" w:hAnsi="Times New Roman" w:eastAsia="楷体_GB2312" w:cs="Times New Roman"/>
          <w:color w:val="auto"/>
        </w:rPr>
      </w:pPr>
    </w:p>
    <w:p>
      <w:pPr>
        <w:pStyle w:val="5"/>
        <w:ind w:firstLine="643"/>
        <w:jc w:val="center"/>
        <w:rPr>
          <w:rFonts w:ascii="Times New Roman" w:hAnsi="Times New Roman" w:eastAsia="楷体_GB2312" w:cs="Times New Roman"/>
          <w:color w:val="auto"/>
          <w:kern w:val="0"/>
        </w:rPr>
      </w:pPr>
      <w:bookmarkStart w:id="12" w:name="_Toc77261180"/>
      <w:r>
        <w:rPr>
          <w:rFonts w:ascii="Times New Roman" w:hAnsi="Times New Roman" w:eastAsia="楷体_GB2312" w:cs="Times New Roman"/>
          <w:color w:val="auto"/>
          <w:kern w:val="0"/>
        </w:rPr>
        <w:t xml:space="preserve">第三节 </w:t>
      </w:r>
      <w:r>
        <w:rPr>
          <w:rFonts w:hint="eastAsia" w:ascii="Times New Roman" w:hAnsi="Times New Roman" w:eastAsia="楷体_GB2312" w:cs="Times New Roman"/>
          <w:color w:val="auto"/>
          <w:kern w:val="0"/>
        </w:rPr>
        <w:t>现代化定位</w:t>
      </w:r>
      <w:bookmarkEnd w:id="12"/>
    </w:p>
    <w:p>
      <w:pPr>
        <w:pStyle w:val="36"/>
        <w:ind w:firstLine="640"/>
        <w:rPr>
          <w:rFonts w:ascii="仿宋_GB2312" w:eastAsia="仿宋_GB2312"/>
          <w:snapToGrid w:val="0"/>
          <w:color w:val="auto"/>
          <w:lang w:bidi="ar"/>
        </w:rPr>
      </w:pPr>
      <w:r>
        <w:rPr>
          <w:rFonts w:hint="eastAsia" w:ascii="仿宋_GB2312" w:eastAsia="仿宋_GB2312"/>
          <w:snapToGrid w:val="0"/>
          <w:color w:val="auto"/>
          <w:lang w:bidi="ar"/>
        </w:rPr>
        <w:t>坚持以国际化、数据化、科学化为指导，全面学习借鉴世界银行“全球治理指标”、经济合作与发展组织（OECD）对市场监管现代化的相关指标，从监管政策、机构、工具、过程以及效果维度制定市场监管现代化指标体系，进一步明确乐山市场监管的定位、目标以及工作方向。</w:t>
      </w:r>
    </w:p>
    <w:p>
      <w:pPr>
        <w:spacing w:line="600" w:lineRule="exact"/>
        <w:ind w:firstLine="600"/>
        <w:jc w:val="center"/>
        <w:rPr>
          <w:rFonts w:ascii="仿宋_GB2312" w:hAnsi="Times New Roman" w:eastAsia="仿宋_GB2312"/>
          <w:b/>
          <w:color w:val="auto"/>
          <w:sz w:val="30"/>
          <w:szCs w:val="30"/>
        </w:rPr>
      </w:pPr>
      <w:r>
        <w:rPr>
          <w:rFonts w:hint="eastAsia" w:ascii="仿宋_GB2312" w:hAnsi="Times New Roman" w:eastAsia="仿宋_GB2312"/>
          <w:b/>
          <w:color w:val="auto"/>
          <w:sz w:val="30"/>
          <w:szCs w:val="30"/>
        </w:rPr>
        <w:t>表1  市场监管现代化指标体系</w:t>
      </w:r>
    </w:p>
    <w:tbl>
      <w:tblPr>
        <w:tblStyle w:val="27"/>
        <w:tblW w:w="94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4"/>
        <w:gridCol w:w="1579"/>
        <w:gridCol w:w="5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2204" w:type="dxa"/>
            <w:vAlign w:val="center"/>
          </w:tcPr>
          <w:p>
            <w:pPr>
              <w:ind w:firstLine="482"/>
              <w:rPr>
                <w:rFonts w:ascii="仿宋_GB2312" w:hAnsi="Times New Roman" w:eastAsia="仿宋_GB2312"/>
                <w:b/>
                <w:color w:val="auto"/>
                <w:kern w:val="0"/>
                <w:sz w:val="24"/>
              </w:rPr>
            </w:pPr>
            <w:r>
              <w:rPr>
                <w:rFonts w:hint="eastAsia" w:ascii="仿宋_GB2312" w:hAnsi="Times New Roman" w:eastAsia="仿宋_GB2312"/>
                <w:b/>
                <w:color w:val="auto"/>
                <w:kern w:val="0"/>
                <w:sz w:val="24"/>
              </w:rPr>
              <w:t>一级指标</w:t>
            </w:r>
          </w:p>
        </w:tc>
        <w:tc>
          <w:tcPr>
            <w:tcW w:w="1579" w:type="dxa"/>
            <w:vAlign w:val="center"/>
          </w:tcPr>
          <w:p>
            <w:pPr>
              <w:rPr>
                <w:rFonts w:ascii="仿宋_GB2312" w:hAnsi="Times New Roman" w:eastAsia="仿宋_GB2312"/>
                <w:b/>
                <w:color w:val="auto"/>
                <w:kern w:val="0"/>
                <w:sz w:val="24"/>
              </w:rPr>
            </w:pPr>
            <w:r>
              <w:rPr>
                <w:rFonts w:hint="eastAsia" w:ascii="仿宋_GB2312" w:hAnsi="Times New Roman" w:eastAsia="仿宋_GB2312"/>
                <w:b/>
                <w:color w:val="auto"/>
                <w:kern w:val="0"/>
                <w:sz w:val="24"/>
              </w:rPr>
              <w:t>二级指标</w:t>
            </w:r>
          </w:p>
        </w:tc>
        <w:tc>
          <w:tcPr>
            <w:tcW w:w="5686" w:type="dxa"/>
            <w:vAlign w:val="center"/>
          </w:tcPr>
          <w:p>
            <w:pPr>
              <w:ind w:firstLine="482"/>
              <w:rPr>
                <w:rFonts w:ascii="仿宋_GB2312" w:hAnsi="Times New Roman" w:eastAsia="仿宋_GB2312"/>
                <w:b/>
                <w:color w:val="auto"/>
                <w:kern w:val="0"/>
                <w:sz w:val="24"/>
              </w:rPr>
            </w:pPr>
            <w:r>
              <w:rPr>
                <w:rFonts w:hint="eastAsia" w:ascii="仿宋_GB2312" w:hAnsi="Times New Roman" w:eastAsia="仿宋_GB2312"/>
                <w:b/>
                <w:color w:val="auto"/>
                <w:kern w:val="0"/>
                <w:sz w:val="24"/>
              </w:rPr>
              <w:t>要点释义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4" w:type="dxa"/>
            <w:vMerge w:val="restart"/>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监管政策现代化</w:t>
            </w:r>
          </w:p>
        </w:tc>
        <w:tc>
          <w:tcPr>
            <w:tcW w:w="1579"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理念价值</w:t>
            </w:r>
          </w:p>
        </w:tc>
        <w:tc>
          <w:tcPr>
            <w:tcW w:w="5686"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符合乐山社会经济发展方向和区域实际，服务经济发展和公共利益，维护经营者和消费者权益。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4" w:type="dxa"/>
            <w:vMerge w:val="continue"/>
          </w:tcPr>
          <w:p>
            <w:pPr>
              <w:ind w:firstLine="480"/>
              <w:rPr>
                <w:rFonts w:ascii="仿宋_GB2312" w:hAnsi="Times New Roman" w:eastAsia="仿宋_GB2312"/>
                <w:bCs/>
                <w:color w:val="auto"/>
                <w:kern w:val="0"/>
                <w:sz w:val="24"/>
              </w:rPr>
            </w:pPr>
          </w:p>
        </w:tc>
        <w:tc>
          <w:tcPr>
            <w:tcW w:w="1579"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规划体系</w:t>
            </w:r>
          </w:p>
        </w:tc>
        <w:tc>
          <w:tcPr>
            <w:tcW w:w="5686"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监管规划清晰，规划标准和政策体系健全，监管框架明确。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4" w:type="dxa"/>
            <w:vMerge w:val="continue"/>
          </w:tcPr>
          <w:p>
            <w:pPr>
              <w:ind w:firstLine="480"/>
              <w:rPr>
                <w:rFonts w:ascii="仿宋_GB2312" w:hAnsi="Times New Roman" w:eastAsia="仿宋_GB2312"/>
                <w:bCs/>
                <w:color w:val="auto"/>
                <w:kern w:val="0"/>
                <w:sz w:val="24"/>
              </w:rPr>
            </w:pPr>
          </w:p>
        </w:tc>
        <w:tc>
          <w:tcPr>
            <w:tcW w:w="1579"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政策目标</w:t>
            </w:r>
          </w:p>
        </w:tc>
        <w:tc>
          <w:tcPr>
            <w:tcW w:w="5686"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政策制度清晰、预期稳定，激励充分竞争，推动高质量发展，鼓励创新创造。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4" w:type="dxa"/>
            <w:vMerge w:val="restart"/>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监管机构现代化</w:t>
            </w:r>
          </w:p>
        </w:tc>
        <w:tc>
          <w:tcPr>
            <w:tcW w:w="1579"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职能定位</w:t>
            </w:r>
          </w:p>
        </w:tc>
        <w:tc>
          <w:tcPr>
            <w:tcW w:w="5686"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职能定位清晰、科学、有力。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4" w:type="dxa"/>
            <w:vMerge w:val="continue"/>
          </w:tcPr>
          <w:p>
            <w:pPr>
              <w:ind w:firstLine="480"/>
              <w:rPr>
                <w:rFonts w:ascii="仿宋_GB2312" w:hAnsi="Times New Roman" w:eastAsia="仿宋_GB2312"/>
                <w:bCs/>
                <w:color w:val="auto"/>
                <w:kern w:val="0"/>
                <w:sz w:val="24"/>
              </w:rPr>
            </w:pPr>
          </w:p>
        </w:tc>
        <w:tc>
          <w:tcPr>
            <w:tcW w:w="1579"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体制关系</w:t>
            </w:r>
          </w:p>
        </w:tc>
        <w:tc>
          <w:tcPr>
            <w:tcW w:w="5686"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体现市场监管特点并具备科学性和有效性。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4" w:type="dxa"/>
            <w:vMerge w:val="continue"/>
          </w:tcPr>
          <w:p>
            <w:pPr>
              <w:ind w:firstLine="480"/>
              <w:rPr>
                <w:rFonts w:ascii="仿宋_GB2312" w:hAnsi="Times New Roman" w:eastAsia="仿宋_GB2312"/>
                <w:bCs/>
                <w:color w:val="auto"/>
                <w:kern w:val="0"/>
                <w:sz w:val="24"/>
              </w:rPr>
            </w:pPr>
          </w:p>
        </w:tc>
        <w:tc>
          <w:tcPr>
            <w:tcW w:w="1579"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协调机制</w:t>
            </w:r>
          </w:p>
        </w:tc>
        <w:tc>
          <w:tcPr>
            <w:tcW w:w="5686"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内外部协调机制类型合力、效果明显。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4" w:type="dxa"/>
            <w:vMerge w:val="restart"/>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监管工具现代化</w:t>
            </w:r>
          </w:p>
        </w:tc>
        <w:tc>
          <w:tcPr>
            <w:tcW w:w="1579"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法定性</w:t>
            </w:r>
          </w:p>
        </w:tc>
        <w:tc>
          <w:tcPr>
            <w:tcW w:w="5686"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监管工具与方式有法律依据。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4" w:type="dxa"/>
            <w:vMerge w:val="continue"/>
            <w:vAlign w:val="bottom"/>
          </w:tcPr>
          <w:p>
            <w:pPr>
              <w:ind w:firstLine="480"/>
              <w:rPr>
                <w:rFonts w:ascii="仿宋_GB2312" w:hAnsi="Times New Roman" w:eastAsia="仿宋_GB2312"/>
                <w:bCs/>
                <w:color w:val="auto"/>
                <w:kern w:val="0"/>
                <w:sz w:val="24"/>
              </w:rPr>
            </w:pPr>
          </w:p>
        </w:tc>
        <w:tc>
          <w:tcPr>
            <w:tcW w:w="1579"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科学性</w:t>
            </w:r>
          </w:p>
        </w:tc>
        <w:tc>
          <w:tcPr>
            <w:tcW w:w="5686"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技术含量高，实用、均衡、可持续程度强。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4" w:type="dxa"/>
            <w:vMerge w:val="continue"/>
            <w:vAlign w:val="bottom"/>
          </w:tcPr>
          <w:p>
            <w:pPr>
              <w:ind w:firstLine="480"/>
              <w:rPr>
                <w:rFonts w:ascii="仿宋_GB2312" w:hAnsi="Times New Roman" w:eastAsia="仿宋_GB2312"/>
                <w:bCs/>
                <w:color w:val="auto"/>
                <w:kern w:val="0"/>
                <w:sz w:val="24"/>
              </w:rPr>
            </w:pPr>
          </w:p>
        </w:tc>
        <w:tc>
          <w:tcPr>
            <w:tcW w:w="1579"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服务型</w:t>
            </w:r>
          </w:p>
        </w:tc>
        <w:tc>
          <w:tcPr>
            <w:tcW w:w="5686"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监管方式方法具有回应性和服务性。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4" w:type="dxa"/>
            <w:vMerge w:val="restart"/>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监管过程现代化</w:t>
            </w:r>
          </w:p>
        </w:tc>
        <w:tc>
          <w:tcPr>
            <w:tcW w:w="1579"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合规度</w:t>
            </w:r>
          </w:p>
        </w:tc>
        <w:tc>
          <w:tcPr>
            <w:tcW w:w="5686"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符合法律法规规范。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4" w:type="dxa"/>
            <w:vMerge w:val="continue"/>
            <w:vAlign w:val="bottom"/>
          </w:tcPr>
          <w:p>
            <w:pPr>
              <w:ind w:firstLine="480"/>
              <w:rPr>
                <w:rFonts w:ascii="仿宋_GB2312" w:hAnsi="Times New Roman" w:eastAsia="仿宋_GB2312"/>
                <w:bCs/>
                <w:color w:val="auto"/>
                <w:kern w:val="0"/>
                <w:sz w:val="24"/>
              </w:rPr>
            </w:pPr>
          </w:p>
        </w:tc>
        <w:tc>
          <w:tcPr>
            <w:tcW w:w="1579"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透明度</w:t>
            </w:r>
          </w:p>
        </w:tc>
        <w:tc>
          <w:tcPr>
            <w:tcW w:w="5686"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监管沟通渠、宣传渠道、发布渠道畅通；重要事件和案件公开规范及时。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4" w:type="dxa"/>
            <w:vMerge w:val="continue"/>
            <w:vAlign w:val="bottom"/>
          </w:tcPr>
          <w:p>
            <w:pPr>
              <w:ind w:firstLine="480"/>
              <w:rPr>
                <w:rFonts w:ascii="仿宋_GB2312" w:hAnsi="Times New Roman" w:eastAsia="仿宋_GB2312"/>
                <w:bCs/>
                <w:color w:val="auto"/>
                <w:kern w:val="0"/>
                <w:sz w:val="24"/>
              </w:rPr>
            </w:pPr>
          </w:p>
        </w:tc>
        <w:tc>
          <w:tcPr>
            <w:tcW w:w="1579"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回应度</w:t>
            </w:r>
          </w:p>
        </w:tc>
        <w:tc>
          <w:tcPr>
            <w:tcW w:w="5686"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回应企业、群众等社会呼声的制度措施和体现。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4" w:type="dxa"/>
            <w:vMerge w:val="restart"/>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监管效果现代化</w:t>
            </w:r>
          </w:p>
        </w:tc>
        <w:tc>
          <w:tcPr>
            <w:tcW w:w="1579"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目标实现</w:t>
            </w:r>
          </w:p>
        </w:tc>
        <w:tc>
          <w:tcPr>
            <w:tcW w:w="5686"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设定监管目标的实现程度。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4" w:type="dxa"/>
            <w:vMerge w:val="continue"/>
            <w:vAlign w:val="bottom"/>
          </w:tcPr>
          <w:p>
            <w:pPr>
              <w:ind w:firstLine="480"/>
              <w:rPr>
                <w:rFonts w:ascii="仿宋_GB2312" w:hAnsi="Times New Roman" w:eastAsia="仿宋_GB2312"/>
                <w:bCs/>
                <w:color w:val="auto"/>
                <w:kern w:val="0"/>
                <w:sz w:val="24"/>
              </w:rPr>
            </w:pPr>
          </w:p>
        </w:tc>
        <w:tc>
          <w:tcPr>
            <w:tcW w:w="1579"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整体品质</w:t>
            </w:r>
          </w:p>
        </w:tc>
        <w:tc>
          <w:tcPr>
            <w:tcW w:w="5686"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社会评价和社会满意度。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4" w:type="dxa"/>
            <w:vMerge w:val="continue"/>
            <w:vAlign w:val="bottom"/>
          </w:tcPr>
          <w:p>
            <w:pPr>
              <w:ind w:firstLine="480"/>
              <w:rPr>
                <w:rFonts w:ascii="仿宋_GB2312" w:hAnsi="Times New Roman" w:eastAsia="仿宋_GB2312"/>
                <w:bCs/>
                <w:color w:val="auto"/>
                <w:kern w:val="0"/>
                <w:sz w:val="24"/>
              </w:rPr>
            </w:pPr>
          </w:p>
        </w:tc>
        <w:tc>
          <w:tcPr>
            <w:tcW w:w="1579"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投入情况</w:t>
            </w:r>
          </w:p>
        </w:tc>
        <w:tc>
          <w:tcPr>
            <w:tcW w:w="5686"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资金、设施设备、人才政策、专业培训等总体投入量。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4" w:type="dxa"/>
            <w:vMerge w:val="continue"/>
          </w:tcPr>
          <w:p>
            <w:pPr>
              <w:ind w:firstLine="480"/>
              <w:rPr>
                <w:rFonts w:ascii="仿宋_GB2312" w:hAnsi="Times New Roman" w:eastAsia="仿宋_GB2312"/>
                <w:bCs/>
                <w:color w:val="auto"/>
                <w:kern w:val="0"/>
                <w:sz w:val="24"/>
              </w:rPr>
            </w:pPr>
          </w:p>
        </w:tc>
        <w:tc>
          <w:tcPr>
            <w:tcW w:w="1579"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绩效考核</w:t>
            </w:r>
          </w:p>
        </w:tc>
        <w:tc>
          <w:tcPr>
            <w:tcW w:w="5686" w:type="dxa"/>
            <w:vAlign w:val="center"/>
          </w:tcPr>
          <w:p>
            <w:pP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基于效果的考核评价方式。</w:t>
            </w:r>
          </w:p>
        </w:tc>
      </w:tr>
    </w:tbl>
    <w:p>
      <w:pPr>
        <w:ind w:firstLine="640"/>
        <w:rPr>
          <w:color w:val="auto"/>
        </w:rPr>
      </w:pPr>
    </w:p>
    <w:p>
      <w:pPr>
        <w:pStyle w:val="5"/>
        <w:ind w:firstLine="643"/>
        <w:jc w:val="center"/>
        <w:rPr>
          <w:rFonts w:ascii="Times New Roman" w:hAnsi="Times New Roman" w:eastAsia="楷体_GB2312" w:cs="Times New Roman"/>
          <w:color w:val="auto"/>
          <w:kern w:val="0"/>
        </w:rPr>
      </w:pPr>
      <w:bookmarkStart w:id="13" w:name="_Toc77261181"/>
      <w:r>
        <w:rPr>
          <w:rFonts w:hint="eastAsia" w:ascii="Times New Roman" w:hAnsi="Times New Roman" w:eastAsia="楷体_GB2312" w:cs="Times New Roman"/>
          <w:color w:val="auto"/>
          <w:kern w:val="0"/>
        </w:rPr>
        <w:t xml:space="preserve">第四节 </w:t>
      </w:r>
      <w:r>
        <w:rPr>
          <w:rFonts w:ascii="Times New Roman" w:hAnsi="Times New Roman" w:eastAsia="楷体_GB2312" w:cs="Times New Roman"/>
          <w:color w:val="auto"/>
          <w:kern w:val="0"/>
        </w:rPr>
        <w:t>主要目标</w:t>
      </w:r>
      <w:bookmarkEnd w:id="11"/>
      <w:bookmarkEnd w:id="13"/>
    </w:p>
    <w:p>
      <w:pPr>
        <w:pStyle w:val="36"/>
        <w:ind w:firstLine="640"/>
        <w:rPr>
          <w:rFonts w:ascii="仿宋_GB2312" w:eastAsia="仿宋_GB2312"/>
          <w:snapToGrid w:val="0"/>
          <w:color w:val="auto"/>
          <w:lang w:bidi="ar"/>
        </w:rPr>
      </w:pPr>
      <w:r>
        <w:rPr>
          <w:rFonts w:hint="eastAsia" w:ascii="仿宋_GB2312" w:eastAsia="仿宋_GB2312"/>
          <w:snapToGrid w:val="0"/>
          <w:color w:val="auto"/>
          <w:lang w:bidi="ar"/>
        </w:rPr>
        <w:t>着眼乐山新发展阶段总定位总目标，围绕打造新发展格局的战略支点，综合研判未来发展趋势、发展条件和市场监管使命任务，到2025年，全市市场监管现代化指标明显提升，初步建立适应性更强、省内领先的现代化市场监管治理体系。</w:t>
      </w:r>
    </w:p>
    <w:p>
      <w:pPr>
        <w:pStyle w:val="36"/>
        <w:ind w:firstLine="640"/>
        <w:rPr>
          <w:rFonts w:ascii="仿宋_GB2312" w:eastAsia="仿宋_GB2312"/>
          <w:snapToGrid w:val="0"/>
          <w:color w:val="auto"/>
          <w:lang w:bidi="ar"/>
        </w:rPr>
      </w:pPr>
      <w:r>
        <w:rPr>
          <w:rFonts w:hint="eastAsia" w:ascii="仿宋_GB2312" w:eastAsia="仿宋_GB2312"/>
          <w:b/>
          <w:bCs/>
          <w:snapToGrid w:val="0"/>
          <w:color w:val="auto"/>
          <w:lang w:bidi="ar"/>
        </w:rPr>
        <w:t>——市场营商环境明显改善。</w:t>
      </w:r>
      <w:r>
        <w:rPr>
          <w:rFonts w:hint="eastAsia" w:ascii="仿宋_GB2312" w:eastAsia="仿宋_GB2312"/>
          <w:snapToGrid w:val="0"/>
          <w:color w:val="auto"/>
          <w:lang w:bidi="ar"/>
        </w:rPr>
        <w:t>通过商事制度改革不断深化，市场准入更加便利，开办企业全流程便利度达到省内一流水平，简政放权，市场退出制度健全，市场主体活力充分释放。竞争政策基础地位进一步强化，竞争机制基本完善，公平开放透明的市场环境逐步形成，为促进经济发展奠定市场基础，进一步助推经济发展。</w:t>
      </w:r>
    </w:p>
    <w:p>
      <w:pPr>
        <w:pStyle w:val="36"/>
        <w:ind w:firstLine="640"/>
        <w:jc w:val="both"/>
        <w:rPr>
          <w:rFonts w:ascii="仿宋_GB2312" w:eastAsia="仿宋_GB2312"/>
          <w:snapToGrid w:val="0"/>
          <w:color w:val="auto"/>
          <w:lang w:bidi="ar"/>
        </w:rPr>
      </w:pPr>
      <w:r>
        <w:rPr>
          <w:rFonts w:hint="eastAsia" w:ascii="仿宋_GB2312" w:eastAsia="仿宋_GB2312"/>
          <w:b/>
          <w:bCs/>
          <w:snapToGrid w:val="0"/>
          <w:color w:val="auto"/>
          <w:lang w:bidi="ar"/>
        </w:rPr>
        <w:t>——质量供给更加</w:t>
      </w:r>
      <w:r>
        <w:rPr>
          <w:rFonts w:hint="eastAsia" w:ascii="仿宋_GB2312" w:eastAsia="仿宋_GB2312"/>
          <w:b/>
          <w:bCs/>
          <w:snapToGrid w:val="0"/>
          <w:color w:val="auto"/>
          <w:lang w:eastAsia="zh-CN" w:bidi="ar"/>
        </w:rPr>
        <w:t>优质</w:t>
      </w:r>
      <w:r>
        <w:rPr>
          <w:rFonts w:hint="eastAsia" w:ascii="仿宋_GB2312" w:eastAsia="仿宋_GB2312"/>
          <w:b/>
          <w:bCs/>
          <w:snapToGrid w:val="0"/>
          <w:color w:val="auto"/>
          <w:lang w:bidi="ar"/>
        </w:rPr>
        <w:t>高效。</w:t>
      </w:r>
      <w:r>
        <w:rPr>
          <w:rFonts w:hint="eastAsia" w:ascii="仿宋_GB2312" w:eastAsia="仿宋_GB2312"/>
          <w:snapToGrid w:val="0"/>
          <w:color w:val="auto"/>
          <w:lang w:bidi="ar"/>
        </w:rPr>
        <w:t>质量强市</w:t>
      </w:r>
      <w:r>
        <w:rPr>
          <w:rFonts w:hint="eastAsia" w:ascii="仿宋_GB2312" w:eastAsia="仿宋_GB2312"/>
          <w:snapToGrid w:val="0"/>
          <w:color w:val="auto"/>
          <w:lang w:eastAsia="zh-CN" w:bidi="ar"/>
        </w:rPr>
        <w:t>战略实施</w:t>
      </w:r>
      <w:r>
        <w:rPr>
          <w:rFonts w:hint="eastAsia" w:ascii="仿宋_GB2312" w:eastAsia="仿宋_GB2312"/>
          <w:snapToGrid w:val="0"/>
          <w:color w:val="auto"/>
          <w:lang w:bidi="ar"/>
        </w:rPr>
        <w:t>成效显著，市场供给质量大幅提升，质量基础进一步夯实，质量对提高全要素生产率和促进经济发展的贡献进一步增强，形成一批质量效益一流的“乐山造”品牌。</w:t>
      </w:r>
    </w:p>
    <w:p>
      <w:pPr>
        <w:pStyle w:val="36"/>
        <w:ind w:firstLine="640"/>
        <w:rPr>
          <w:rFonts w:ascii="仿宋_GB2312" w:eastAsia="仿宋_GB2312"/>
          <w:snapToGrid w:val="0"/>
          <w:color w:val="auto"/>
          <w:lang w:bidi="ar"/>
        </w:rPr>
      </w:pPr>
      <w:r>
        <w:rPr>
          <w:rFonts w:hint="eastAsia" w:ascii="仿宋_GB2312" w:eastAsia="仿宋_GB2312"/>
          <w:b/>
          <w:bCs/>
          <w:snapToGrid w:val="0"/>
          <w:color w:val="auto"/>
          <w:lang w:bidi="ar"/>
        </w:rPr>
        <w:t>——创新发展动能更加强劲</w:t>
      </w:r>
      <w:r>
        <w:rPr>
          <w:rFonts w:hint="eastAsia" w:ascii="仿宋_GB2312" w:eastAsia="仿宋_GB2312"/>
          <w:b/>
          <w:bCs/>
          <w:snapToGrid w:val="0"/>
          <w:color w:val="auto"/>
          <w:lang w:eastAsia="zh-CN" w:bidi="ar"/>
        </w:rPr>
        <w:t>有力</w:t>
      </w:r>
      <w:r>
        <w:rPr>
          <w:rFonts w:hint="eastAsia" w:ascii="仿宋_GB2312" w:eastAsia="仿宋_GB2312"/>
          <w:b/>
          <w:bCs/>
          <w:snapToGrid w:val="0"/>
          <w:color w:val="auto"/>
          <w:lang w:bidi="ar"/>
        </w:rPr>
        <w:t>。</w:t>
      </w:r>
      <w:r>
        <w:rPr>
          <w:rFonts w:hint="eastAsia" w:ascii="仿宋_GB2312" w:eastAsia="仿宋_GB2312"/>
          <w:snapToGrid w:val="0"/>
          <w:color w:val="auto"/>
          <w:lang w:eastAsia="zh-CN" w:bidi="ar"/>
        </w:rPr>
        <w:t>实施创新驱动战略，</w:t>
      </w:r>
      <w:r>
        <w:rPr>
          <w:rFonts w:hint="eastAsia" w:ascii="仿宋_GB2312" w:eastAsia="仿宋_GB2312"/>
          <w:snapToGrid w:val="0"/>
          <w:color w:val="auto"/>
          <w:lang w:bidi="ar"/>
        </w:rPr>
        <w:t>知识产权保护机制更加完善，知识产权全链条保护格局基本形成，关键核心领域自主知识产权取得突破，知识产权创造</w:t>
      </w:r>
      <w:r>
        <w:rPr>
          <w:rFonts w:hint="eastAsia" w:ascii="仿宋_GB2312" w:eastAsia="仿宋_GB2312"/>
          <w:snapToGrid w:val="0"/>
          <w:color w:val="auto"/>
          <w:lang w:eastAsia="zh-CN" w:bidi="ar"/>
        </w:rPr>
        <w:t>、运用、保护、管理、服务</w:t>
      </w:r>
      <w:r>
        <w:rPr>
          <w:rFonts w:hint="eastAsia" w:ascii="仿宋_GB2312" w:eastAsia="仿宋_GB2312"/>
          <w:snapToGrid w:val="0"/>
          <w:color w:val="auto"/>
          <w:lang w:bidi="ar"/>
        </w:rPr>
        <w:t>效益</w:t>
      </w:r>
      <w:r>
        <w:rPr>
          <w:rFonts w:hint="eastAsia" w:ascii="仿宋_GB2312" w:eastAsia="仿宋_GB2312"/>
          <w:snapToGrid w:val="0"/>
          <w:color w:val="auto"/>
          <w:lang w:eastAsia="zh-CN" w:bidi="ar"/>
        </w:rPr>
        <w:t>和水平</w:t>
      </w:r>
      <w:r>
        <w:rPr>
          <w:rFonts w:hint="eastAsia" w:ascii="仿宋_GB2312" w:eastAsia="仿宋_GB2312"/>
          <w:snapToGrid w:val="0"/>
          <w:color w:val="auto"/>
          <w:lang w:bidi="ar"/>
        </w:rPr>
        <w:t>大幅提高，</w:t>
      </w:r>
      <w:r>
        <w:rPr>
          <w:rFonts w:hint="eastAsia" w:ascii="仿宋_GB2312" w:eastAsia="仿宋_GB2312"/>
          <w:snapToGrid w:val="0"/>
          <w:color w:val="auto"/>
          <w:lang w:eastAsia="zh-CN" w:bidi="ar"/>
        </w:rPr>
        <w:t>知识产权引领高质量发展的新格局进一步形成，</w:t>
      </w:r>
      <w:r>
        <w:rPr>
          <w:rFonts w:hint="eastAsia" w:ascii="仿宋_GB2312" w:eastAsia="仿宋_GB2312"/>
          <w:snapToGrid w:val="0"/>
          <w:color w:val="auto"/>
          <w:lang w:bidi="ar"/>
        </w:rPr>
        <w:t>创新创造活力充分激发。</w:t>
      </w:r>
    </w:p>
    <w:p>
      <w:pPr>
        <w:pStyle w:val="36"/>
        <w:ind w:firstLine="640"/>
        <w:rPr>
          <w:rFonts w:ascii="仿宋_GB2312" w:eastAsia="仿宋_GB2312"/>
          <w:snapToGrid w:val="0"/>
          <w:color w:val="auto"/>
          <w:lang w:bidi="ar"/>
        </w:rPr>
      </w:pPr>
      <w:r>
        <w:rPr>
          <w:rFonts w:hint="eastAsia" w:ascii="仿宋_GB2312" w:eastAsia="仿宋_GB2312"/>
          <w:b/>
          <w:bCs/>
          <w:snapToGrid w:val="0"/>
          <w:color w:val="auto"/>
          <w:lang w:bidi="ar"/>
        </w:rPr>
        <w:t>——</w:t>
      </w:r>
      <w:r>
        <w:rPr>
          <w:rFonts w:hint="eastAsia" w:ascii="仿宋_GB2312" w:eastAsia="仿宋_GB2312"/>
          <w:b/>
          <w:bCs/>
          <w:snapToGrid w:val="0"/>
          <w:color w:val="auto"/>
          <w:lang w:eastAsia="zh-CN" w:bidi="ar"/>
        </w:rPr>
        <w:t>市场</w:t>
      </w:r>
      <w:r>
        <w:rPr>
          <w:rFonts w:hint="eastAsia" w:ascii="仿宋_GB2312" w:eastAsia="仿宋_GB2312"/>
          <w:b/>
          <w:bCs/>
          <w:snapToGrid w:val="0"/>
          <w:color w:val="auto"/>
          <w:lang w:bidi="ar"/>
        </w:rPr>
        <w:t>监管形势更加安全稳定。</w:t>
      </w:r>
      <w:r>
        <w:rPr>
          <w:rFonts w:hint="eastAsia" w:ascii="仿宋_GB2312" w:eastAsia="仿宋_GB2312"/>
          <w:snapToGrid w:val="0"/>
          <w:color w:val="auto"/>
          <w:lang w:bidi="ar"/>
        </w:rPr>
        <w:t>食品药品“四个最严”</w:t>
      </w:r>
      <w:r>
        <w:rPr>
          <w:rFonts w:hint="eastAsia" w:ascii="仿宋_GB2312" w:eastAsia="仿宋_GB2312"/>
          <w:snapToGrid w:val="0"/>
          <w:color w:val="auto"/>
          <w:lang w:eastAsia="zh-CN" w:bidi="ar"/>
        </w:rPr>
        <w:t>要求得到</w:t>
      </w:r>
      <w:r>
        <w:rPr>
          <w:rFonts w:hint="eastAsia" w:ascii="仿宋_GB2312" w:eastAsia="仿宋_GB2312"/>
          <w:snapToGrid w:val="0"/>
          <w:color w:val="auto"/>
          <w:lang w:bidi="ar"/>
        </w:rPr>
        <w:t>全面落实，特种设备安全隐患有效遏制，重点工业产品质量安全监管力度不断加大，安全监管机制趋于健全，安全风险有效防范化解，守住不发生区域性、系统性、行业性安全风险的市场安全底线。</w:t>
      </w:r>
    </w:p>
    <w:p>
      <w:pPr>
        <w:pStyle w:val="36"/>
        <w:ind w:firstLine="640"/>
        <w:rPr>
          <w:rFonts w:hint="eastAsia" w:ascii="仿宋_GB2312" w:eastAsia="仿宋_GB2312"/>
          <w:snapToGrid w:val="0"/>
          <w:color w:val="auto"/>
          <w:lang w:bidi="ar"/>
        </w:rPr>
      </w:pPr>
      <w:r>
        <w:rPr>
          <w:rFonts w:hint="eastAsia" w:ascii="仿宋_GB2312" w:eastAsia="仿宋_GB2312"/>
          <w:b/>
          <w:bCs/>
          <w:snapToGrid w:val="0"/>
          <w:color w:val="auto"/>
          <w:lang w:bidi="ar"/>
        </w:rPr>
        <w:t>——消费环境更加放心</w:t>
      </w:r>
      <w:r>
        <w:rPr>
          <w:rFonts w:hint="eastAsia" w:ascii="仿宋_GB2312" w:eastAsia="仿宋_GB2312"/>
          <w:b/>
          <w:bCs/>
          <w:snapToGrid w:val="0"/>
          <w:color w:val="auto"/>
          <w:lang w:eastAsia="zh-CN" w:bidi="ar"/>
        </w:rPr>
        <w:t>舒心</w:t>
      </w:r>
      <w:r>
        <w:rPr>
          <w:rFonts w:hint="eastAsia" w:ascii="仿宋_GB2312" w:eastAsia="仿宋_GB2312"/>
          <w:b/>
          <w:bCs/>
          <w:snapToGrid w:val="0"/>
          <w:color w:val="auto"/>
          <w:lang w:bidi="ar"/>
        </w:rPr>
        <w:t>。</w:t>
      </w:r>
      <w:r>
        <w:rPr>
          <w:rFonts w:hint="eastAsia" w:ascii="仿宋_GB2312" w:eastAsia="仿宋_GB2312"/>
          <w:snapToGrid w:val="0"/>
          <w:color w:val="auto"/>
          <w:lang w:bidi="ar"/>
        </w:rPr>
        <w:t>科学、理性、健康、绿色的消费理念深入人心，消费维权机制不断健全，消费维权效能明显提高，消费信心显著增强，放心舒心的消费环境全面提升。</w:t>
      </w:r>
    </w:p>
    <w:p>
      <w:pPr>
        <w:pStyle w:val="36"/>
        <w:ind w:firstLine="640"/>
        <w:rPr>
          <w:rFonts w:hint="eastAsia" w:ascii="仿宋_GB2312" w:hAnsi="Times New Roman" w:eastAsia="仿宋_GB2312"/>
          <w:b/>
          <w:color w:val="auto"/>
          <w:sz w:val="30"/>
          <w:szCs w:val="30"/>
        </w:rPr>
      </w:pPr>
      <w:r>
        <w:rPr>
          <w:rFonts w:hint="eastAsia" w:ascii="仿宋_GB2312" w:eastAsia="仿宋_GB2312"/>
          <w:b/>
          <w:bCs/>
          <w:snapToGrid w:val="0"/>
          <w:color w:val="auto"/>
          <w:lang w:bidi="ar"/>
        </w:rPr>
        <w:t>——市场</w:t>
      </w:r>
      <w:r>
        <w:rPr>
          <w:rFonts w:hint="eastAsia" w:ascii="仿宋_GB2312" w:eastAsia="仿宋_GB2312"/>
          <w:b/>
          <w:bCs/>
          <w:snapToGrid w:val="0"/>
          <w:color w:val="auto"/>
          <w:lang w:eastAsia="zh-CN" w:bidi="ar"/>
        </w:rPr>
        <w:t>监督体系</w:t>
      </w:r>
      <w:r>
        <w:rPr>
          <w:rFonts w:hint="eastAsia" w:ascii="仿宋_GB2312" w:eastAsia="仿宋_GB2312"/>
          <w:b/>
          <w:bCs/>
          <w:snapToGrid w:val="0"/>
          <w:color w:val="auto"/>
          <w:lang w:bidi="ar"/>
        </w:rPr>
        <w:t>更加</w:t>
      </w:r>
      <w:r>
        <w:rPr>
          <w:rFonts w:hint="eastAsia" w:ascii="仿宋_GB2312" w:eastAsia="仿宋_GB2312"/>
          <w:b/>
          <w:bCs/>
          <w:snapToGrid w:val="0"/>
          <w:color w:val="auto"/>
          <w:lang w:eastAsia="zh-CN" w:bidi="ar"/>
        </w:rPr>
        <w:t>健全完备</w:t>
      </w:r>
      <w:r>
        <w:rPr>
          <w:rFonts w:hint="eastAsia" w:ascii="仿宋_GB2312" w:eastAsia="仿宋_GB2312"/>
          <w:b/>
          <w:bCs/>
          <w:snapToGrid w:val="0"/>
          <w:color w:val="auto"/>
          <w:lang w:bidi="ar"/>
        </w:rPr>
        <w:t>。</w:t>
      </w:r>
      <w:r>
        <w:rPr>
          <w:rFonts w:hint="eastAsia" w:ascii="仿宋_GB2312" w:eastAsia="仿宋_GB2312"/>
          <w:snapToGrid w:val="0"/>
          <w:color w:val="auto"/>
        </w:rPr>
        <w:t>法治</w:t>
      </w:r>
      <w:r>
        <w:rPr>
          <w:rFonts w:hint="eastAsia" w:ascii="仿宋_GB2312" w:eastAsia="仿宋_GB2312"/>
          <w:snapToGrid w:val="0"/>
          <w:color w:val="auto"/>
          <w:lang w:eastAsia="zh-CN" w:bidi="ar"/>
        </w:rPr>
        <w:t>建设</w:t>
      </w:r>
      <w:r>
        <w:rPr>
          <w:rFonts w:hint="eastAsia" w:ascii="仿宋_GB2312" w:eastAsia="仿宋_GB2312"/>
          <w:snapToGrid w:val="0"/>
          <w:color w:val="auto"/>
          <w:lang w:eastAsia="zh-CN"/>
        </w:rPr>
        <w:t>、</w:t>
      </w:r>
      <w:r>
        <w:rPr>
          <w:rFonts w:hint="eastAsia" w:ascii="仿宋_GB2312" w:eastAsia="仿宋_GB2312"/>
          <w:snapToGrid w:val="0"/>
          <w:color w:val="auto"/>
        </w:rPr>
        <w:t>综合执法</w:t>
      </w:r>
      <w:r>
        <w:rPr>
          <w:rFonts w:hint="eastAsia" w:ascii="仿宋_GB2312" w:eastAsia="仿宋_GB2312"/>
          <w:snapToGrid w:val="0"/>
          <w:color w:val="auto"/>
          <w:lang w:eastAsia="zh-CN"/>
        </w:rPr>
        <w:t>、人才队伍建设不断深化</w:t>
      </w:r>
      <w:r>
        <w:rPr>
          <w:rFonts w:hint="eastAsia" w:ascii="仿宋_GB2312" w:eastAsia="仿宋_GB2312"/>
          <w:snapToGrid w:val="0"/>
          <w:color w:val="auto"/>
        </w:rPr>
        <w:t>，新型监管模式</w:t>
      </w:r>
      <w:r>
        <w:rPr>
          <w:rFonts w:hint="eastAsia" w:ascii="仿宋_GB2312" w:eastAsia="仿宋_GB2312"/>
          <w:snapToGrid w:val="0"/>
          <w:color w:val="auto"/>
          <w:lang w:eastAsia="zh-CN"/>
        </w:rPr>
        <w:t>不断健全</w:t>
      </w:r>
      <w:r>
        <w:rPr>
          <w:rFonts w:hint="eastAsia" w:ascii="仿宋_GB2312" w:eastAsia="仿宋_GB2312"/>
          <w:snapToGrid w:val="0"/>
          <w:color w:val="auto"/>
        </w:rPr>
        <w:t>，区域交流合作</w:t>
      </w:r>
      <w:r>
        <w:rPr>
          <w:rFonts w:hint="eastAsia" w:ascii="仿宋_GB2312" w:eastAsia="仿宋_GB2312"/>
          <w:snapToGrid w:val="0"/>
          <w:color w:val="auto"/>
          <w:lang w:eastAsia="zh-CN"/>
        </w:rPr>
        <w:t>有效拓展</w:t>
      </w:r>
      <w:r>
        <w:rPr>
          <w:rFonts w:hint="eastAsia" w:ascii="仿宋_GB2312" w:eastAsia="仿宋_GB2312"/>
          <w:snapToGrid w:val="0"/>
          <w:color w:val="auto"/>
        </w:rPr>
        <w:t>，</w:t>
      </w:r>
      <w:r>
        <w:rPr>
          <w:rFonts w:hint="eastAsia" w:ascii="仿宋_GB2312" w:eastAsia="仿宋_GB2312"/>
          <w:snapToGrid w:val="0"/>
          <w:color w:val="auto"/>
          <w:lang w:eastAsia="zh-CN"/>
        </w:rPr>
        <w:t>技术支撑不断强化，</w:t>
      </w:r>
      <w:r>
        <w:rPr>
          <w:rFonts w:hint="eastAsia" w:ascii="仿宋_GB2312" w:eastAsia="仿宋_GB2312"/>
          <w:snapToGrid w:val="0"/>
          <w:color w:val="auto"/>
        </w:rPr>
        <w:t>法治化、新型化、区域化、多元化的现代市场监督体系</w:t>
      </w:r>
      <w:r>
        <w:rPr>
          <w:rFonts w:hint="eastAsia" w:ascii="仿宋_GB2312" w:eastAsia="仿宋_GB2312"/>
          <w:snapToGrid w:val="0"/>
          <w:color w:val="auto"/>
          <w:lang w:eastAsia="zh-CN"/>
        </w:rPr>
        <w:t>基本建成</w:t>
      </w:r>
      <w:r>
        <w:rPr>
          <w:rFonts w:hint="eastAsia" w:ascii="仿宋_GB2312" w:eastAsia="仿宋_GB2312"/>
          <w:snapToGrid w:val="0"/>
          <w:color w:val="auto"/>
        </w:rPr>
        <w:t>，</w:t>
      </w:r>
      <w:r>
        <w:rPr>
          <w:rFonts w:hint="eastAsia" w:ascii="仿宋_GB2312" w:eastAsia="仿宋_GB2312"/>
          <w:snapToGrid w:val="0"/>
          <w:color w:val="auto"/>
          <w:lang w:eastAsia="zh-CN"/>
        </w:rPr>
        <w:t>为推动有效市场和有为</w:t>
      </w:r>
      <w:r>
        <w:rPr>
          <w:rFonts w:hint="eastAsia" w:ascii="仿宋_GB2312" w:eastAsia="仿宋_GB2312"/>
          <w:snapToGrid w:val="0"/>
          <w:color w:val="auto"/>
        </w:rPr>
        <w:t>政府</w:t>
      </w:r>
      <w:r>
        <w:rPr>
          <w:rFonts w:hint="eastAsia" w:ascii="仿宋_GB2312" w:eastAsia="仿宋_GB2312"/>
          <w:snapToGrid w:val="0"/>
          <w:color w:val="auto"/>
          <w:lang w:eastAsia="zh-CN"/>
        </w:rPr>
        <w:t>更好地结合，</w:t>
      </w:r>
      <w:r>
        <w:rPr>
          <w:rFonts w:hint="eastAsia" w:ascii="仿宋_GB2312" w:eastAsia="仿宋_GB2312"/>
          <w:snapToGrid w:val="0"/>
          <w:color w:val="auto"/>
        </w:rPr>
        <w:t>促进市场公平竞争、维护市场秩序、激发市场活力和创造力提供保障。</w:t>
      </w:r>
    </w:p>
    <w:p>
      <w:pPr>
        <w:pStyle w:val="36"/>
        <w:ind w:firstLine="600"/>
        <w:rPr>
          <w:rFonts w:ascii="仿宋_GB2312" w:hAnsi="Times New Roman" w:eastAsia="仿宋_GB2312"/>
          <w:b/>
          <w:color w:val="auto"/>
          <w:sz w:val="30"/>
          <w:szCs w:val="30"/>
        </w:rPr>
      </w:pPr>
      <w:r>
        <w:rPr>
          <w:rFonts w:hint="eastAsia" w:ascii="仿宋_GB2312" w:hAnsi="Times New Roman" w:eastAsia="仿宋_GB2312"/>
          <w:b/>
          <w:color w:val="auto"/>
          <w:sz w:val="30"/>
          <w:szCs w:val="30"/>
        </w:rPr>
        <w:t>表2 “十四五”市场监管主要指标</w:t>
      </w:r>
    </w:p>
    <w:tbl>
      <w:tblPr>
        <w:tblStyle w:val="27"/>
        <w:tblW w:w="99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4799"/>
        <w:gridCol w:w="1417"/>
        <w:gridCol w:w="203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25" w:type="dxa"/>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序号</w:t>
            </w:r>
          </w:p>
        </w:tc>
        <w:tc>
          <w:tcPr>
            <w:tcW w:w="4799" w:type="dxa"/>
            <w:vAlign w:val="center"/>
          </w:tcPr>
          <w:p>
            <w:pPr>
              <w:ind w:firstLine="48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指标</w:t>
            </w:r>
          </w:p>
        </w:tc>
        <w:tc>
          <w:tcPr>
            <w:tcW w:w="1417" w:type="dxa"/>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2020年</w:t>
            </w:r>
          </w:p>
        </w:tc>
        <w:tc>
          <w:tcPr>
            <w:tcW w:w="2037" w:type="dxa"/>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2025年</w:t>
            </w:r>
          </w:p>
        </w:tc>
        <w:tc>
          <w:tcPr>
            <w:tcW w:w="1011" w:type="dxa"/>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1</w:t>
            </w:r>
          </w:p>
        </w:tc>
        <w:tc>
          <w:tcPr>
            <w:tcW w:w="4799" w:type="dxa"/>
            <w:vAlign w:val="center"/>
          </w:tcPr>
          <w:p>
            <w:pPr>
              <w:ind w:firstLine="48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实有市场主体总量（万户）</w:t>
            </w:r>
          </w:p>
        </w:tc>
        <w:tc>
          <w:tcPr>
            <w:tcW w:w="1417" w:type="dxa"/>
            <w:vAlign w:val="center"/>
          </w:tcPr>
          <w:p>
            <w:pPr>
              <w:ind w:firstLine="240" w:firstLineChars="10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w:t>
            </w:r>
          </w:p>
        </w:tc>
        <w:tc>
          <w:tcPr>
            <w:tcW w:w="2037" w:type="dxa"/>
            <w:vAlign w:val="center"/>
          </w:tcPr>
          <w:p>
            <w:pPr>
              <w:ind w:firstLine="240" w:firstLineChars="100"/>
              <w:jc w:val="center"/>
              <w:rPr>
                <w:rFonts w:ascii="仿宋_GB2312" w:hAnsi="Times New Roman" w:eastAsia="仿宋_GB2312"/>
                <w:bCs/>
                <w:color w:val="auto"/>
                <w:kern w:val="0"/>
                <w:sz w:val="24"/>
              </w:rPr>
            </w:pPr>
            <w:r>
              <w:rPr>
                <w:rFonts w:ascii="仿宋_GB2312" w:hAnsi="Times New Roman" w:eastAsia="仿宋_GB2312"/>
                <w:bCs/>
                <w:color w:val="auto"/>
                <w:kern w:val="0"/>
                <w:sz w:val="24"/>
              </w:rPr>
              <w:t>/</w:t>
            </w:r>
          </w:p>
        </w:tc>
        <w:tc>
          <w:tcPr>
            <w:tcW w:w="1011" w:type="dxa"/>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2</w:t>
            </w:r>
          </w:p>
        </w:tc>
        <w:tc>
          <w:tcPr>
            <w:tcW w:w="4799" w:type="dxa"/>
            <w:vAlign w:val="center"/>
          </w:tcPr>
          <w:p>
            <w:pPr>
              <w:ind w:firstLine="48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全市每千人拥有企业（户）</w:t>
            </w:r>
          </w:p>
        </w:tc>
        <w:tc>
          <w:tcPr>
            <w:tcW w:w="1417" w:type="dxa"/>
            <w:vAlign w:val="center"/>
          </w:tcPr>
          <w:p>
            <w:pPr>
              <w:ind w:firstLine="240" w:firstLineChars="10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w:t>
            </w:r>
          </w:p>
        </w:tc>
        <w:tc>
          <w:tcPr>
            <w:tcW w:w="2037" w:type="dxa"/>
            <w:vAlign w:val="center"/>
          </w:tcPr>
          <w:p>
            <w:pPr>
              <w:ind w:firstLine="240" w:firstLineChars="100"/>
              <w:jc w:val="center"/>
              <w:rPr>
                <w:rFonts w:ascii="仿宋_GB2312" w:hAnsi="Times New Roman" w:eastAsia="仿宋_GB2312"/>
                <w:bCs/>
                <w:color w:val="auto"/>
                <w:kern w:val="0"/>
                <w:sz w:val="24"/>
              </w:rPr>
            </w:pPr>
            <w:r>
              <w:rPr>
                <w:rFonts w:ascii="仿宋_GB2312" w:hAnsi="Times New Roman" w:eastAsia="仿宋_GB2312"/>
                <w:bCs/>
                <w:color w:val="auto"/>
                <w:kern w:val="0"/>
                <w:sz w:val="24"/>
              </w:rPr>
              <w:t>/</w:t>
            </w:r>
          </w:p>
        </w:tc>
        <w:tc>
          <w:tcPr>
            <w:tcW w:w="1011" w:type="dxa"/>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bCs/>
                <w:color w:val="auto"/>
                <w:kern w:val="0"/>
                <w:sz w:val="24"/>
                <w:lang w:eastAsia="zh-CN"/>
              </w:rPr>
            </w:pPr>
            <w:r>
              <w:rPr>
                <w:rFonts w:hint="eastAsia" w:ascii="仿宋_GB2312" w:hAnsi="Times New Roman" w:eastAsia="仿宋_GB2312"/>
                <w:bCs/>
                <w:color w:val="auto"/>
                <w:kern w:val="0"/>
                <w:sz w:val="24"/>
                <w:lang w:eastAsia="zh-CN"/>
              </w:rPr>
              <w:t>３</w:t>
            </w:r>
          </w:p>
        </w:tc>
        <w:tc>
          <w:tcPr>
            <w:tcW w:w="4799" w:type="dxa"/>
            <w:shd w:val="clear" w:color="auto" w:fill="auto"/>
            <w:vAlign w:val="center"/>
          </w:tcPr>
          <w:p>
            <w:pPr>
              <w:ind w:firstLine="48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社会公用计量标准数量（个）</w:t>
            </w:r>
          </w:p>
        </w:tc>
        <w:tc>
          <w:tcPr>
            <w:tcW w:w="1417" w:type="dxa"/>
            <w:shd w:val="clear" w:color="auto" w:fill="auto"/>
            <w:vAlign w:val="center"/>
          </w:tcPr>
          <w:p>
            <w:pPr>
              <w:ind w:firstLine="120" w:firstLineChars="50"/>
              <w:jc w:val="center"/>
              <w:rPr>
                <w:rFonts w:hint="default" w:ascii="仿宋_GB2312" w:hAnsi="Times New Roman" w:eastAsia="仿宋_GB2312"/>
                <w:bCs/>
                <w:color w:val="auto"/>
                <w:kern w:val="0"/>
                <w:sz w:val="24"/>
                <w:lang w:val="en-US" w:eastAsia="zh-CN"/>
              </w:rPr>
            </w:pPr>
            <w:r>
              <w:rPr>
                <w:rFonts w:hint="eastAsia" w:ascii="仿宋_GB2312" w:hAnsi="Times New Roman" w:eastAsia="仿宋_GB2312"/>
                <w:bCs/>
                <w:color w:val="auto"/>
                <w:kern w:val="0"/>
                <w:sz w:val="24"/>
                <w:lang w:val="en-US" w:eastAsia="zh-CN"/>
              </w:rPr>
              <w:t>127</w:t>
            </w:r>
          </w:p>
        </w:tc>
        <w:tc>
          <w:tcPr>
            <w:tcW w:w="2037" w:type="dxa"/>
            <w:shd w:val="clear" w:color="auto" w:fill="auto"/>
            <w:vAlign w:val="center"/>
          </w:tcPr>
          <w:p>
            <w:pPr>
              <w:ind w:firstLine="120" w:firstLineChars="50"/>
              <w:jc w:val="center"/>
              <w:rPr>
                <w:rFonts w:hint="default" w:ascii="仿宋_GB2312" w:hAnsi="Times New Roman" w:eastAsia="仿宋_GB2312"/>
                <w:bCs/>
                <w:color w:val="auto"/>
                <w:kern w:val="0"/>
                <w:sz w:val="24"/>
                <w:lang w:val="en-US" w:eastAsia="zh-CN"/>
              </w:rPr>
            </w:pPr>
            <w:r>
              <w:rPr>
                <w:rFonts w:hint="eastAsia" w:ascii="仿宋_GB2312" w:hAnsi="Times New Roman" w:eastAsia="仿宋_GB2312"/>
                <w:bCs/>
                <w:color w:val="auto"/>
                <w:kern w:val="0"/>
                <w:sz w:val="24"/>
                <w:lang w:val="en-US" w:eastAsia="zh-CN"/>
              </w:rPr>
              <w:t>142</w:t>
            </w:r>
          </w:p>
        </w:tc>
        <w:tc>
          <w:tcPr>
            <w:tcW w:w="1011" w:type="dxa"/>
            <w:shd w:val="clear" w:color="auto" w:fill="auto"/>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7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bCs/>
                <w:color w:val="auto"/>
                <w:kern w:val="0"/>
                <w:sz w:val="24"/>
                <w:lang w:eastAsia="zh-CN"/>
              </w:rPr>
            </w:pPr>
            <w:r>
              <w:rPr>
                <w:rFonts w:hint="eastAsia" w:ascii="仿宋_GB2312" w:hAnsi="Times New Roman" w:eastAsia="仿宋_GB2312"/>
                <w:bCs/>
                <w:color w:val="auto"/>
                <w:kern w:val="0"/>
                <w:sz w:val="24"/>
                <w:lang w:eastAsia="zh-CN"/>
              </w:rPr>
              <w:t>４</w:t>
            </w:r>
          </w:p>
        </w:tc>
        <w:tc>
          <w:tcPr>
            <w:tcW w:w="4799" w:type="dxa"/>
            <w:shd w:val="clear" w:color="auto" w:fill="auto"/>
            <w:vAlign w:val="center"/>
          </w:tcPr>
          <w:p>
            <w:pPr>
              <w:ind w:firstLine="48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累计国际标准（主导或参与）</w:t>
            </w:r>
          </w:p>
        </w:tc>
        <w:tc>
          <w:tcPr>
            <w:tcW w:w="1417" w:type="dxa"/>
            <w:shd w:val="clear" w:color="auto" w:fill="auto"/>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4</w:t>
            </w:r>
          </w:p>
        </w:tc>
        <w:tc>
          <w:tcPr>
            <w:tcW w:w="2037" w:type="dxa"/>
            <w:shd w:val="clear" w:color="auto" w:fill="auto"/>
            <w:vAlign w:val="center"/>
          </w:tcPr>
          <w:p>
            <w:pPr>
              <w:ind w:firstLine="480"/>
              <w:jc w:val="center"/>
              <w:rPr>
                <w:rFonts w:ascii="仿宋_GB2312" w:hAnsi="Times New Roman" w:eastAsia="仿宋_GB2312"/>
                <w:bCs/>
                <w:color w:val="auto"/>
                <w:kern w:val="0"/>
                <w:sz w:val="24"/>
              </w:rPr>
            </w:pPr>
            <w:r>
              <w:rPr>
                <w:rFonts w:ascii="仿宋_GB2312" w:hAnsi="Times New Roman" w:eastAsia="仿宋_GB2312"/>
                <w:bCs/>
                <w:color w:val="auto"/>
                <w:kern w:val="0"/>
                <w:sz w:val="24"/>
              </w:rPr>
              <w:t>6</w:t>
            </w:r>
          </w:p>
        </w:tc>
        <w:tc>
          <w:tcPr>
            <w:tcW w:w="1011" w:type="dxa"/>
            <w:shd w:val="clear" w:color="auto" w:fill="auto"/>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bCs/>
                <w:color w:val="auto"/>
                <w:kern w:val="0"/>
                <w:sz w:val="24"/>
                <w:lang w:eastAsia="zh-CN"/>
              </w:rPr>
            </w:pPr>
            <w:r>
              <w:rPr>
                <w:rFonts w:hint="eastAsia" w:ascii="仿宋_GB2312" w:hAnsi="Times New Roman" w:eastAsia="仿宋_GB2312"/>
                <w:bCs/>
                <w:color w:val="auto"/>
                <w:kern w:val="0"/>
                <w:sz w:val="24"/>
                <w:lang w:eastAsia="zh-CN"/>
              </w:rPr>
              <w:t>５</w:t>
            </w:r>
          </w:p>
        </w:tc>
        <w:tc>
          <w:tcPr>
            <w:tcW w:w="4799" w:type="dxa"/>
            <w:shd w:val="clear" w:color="auto" w:fill="auto"/>
            <w:vAlign w:val="center"/>
          </w:tcPr>
          <w:p>
            <w:pPr>
              <w:ind w:firstLine="48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累计国家标准（主导或参与）</w:t>
            </w:r>
          </w:p>
        </w:tc>
        <w:tc>
          <w:tcPr>
            <w:tcW w:w="1417" w:type="dxa"/>
            <w:shd w:val="clear" w:color="auto" w:fill="auto"/>
            <w:vAlign w:val="center"/>
          </w:tcPr>
          <w:p>
            <w:pPr>
              <w:ind w:firstLine="720" w:firstLineChars="300"/>
              <w:rPr>
                <w:rFonts w:ascii="仿宋_GB2312" w:hAnsi="Times New Roman" w:eastAsia="仿宋_GB2312"/>
                <w:bCs/>
                <w:color w:val="auto"/>
                <w:kern w:val="0"/>
                <w:sz w:val="24"/>
              </w:rPr>
            </w:pPr>
            <w:r>
              <w:rPr>
                <w:rFonts w:ascii="仿宋_GB2312" w:hAnsi="Times New Roman" w:eastAsia="仿宋_GB2312"/>
                <w:bCs/>
                <w:color w:val="auto"/>
                <w:kern w:val="0"/>
                <w:sz w:val="24"/>
              </w:rPr>
              <w:t>54</w:t>
            </w:r>
          </w:p>
        </w:tc>
        <w:tc>
          <w:tcPr>
            <w:tcW w:w="2037" w:type="dxa"/>
            <w:shd w:val="clear" w:color="auto" w:fill="auto"/>
            <w:vAlign w:val="center"/>
          </w:tcPr>
          <w:p>
            <w:pPr>
              <w:ind w:firstLine="480"/>
              <w:jc w:val="center"/>
              <w:rPr>
                <w:rFonts w:ascii="仿宋_GB2312" w:hAnsi="Times New Roman" w:eastAsia="仿宋_GB2312"/>
                <w:bCs/>
                <w:color w:val="auto"/>
                <w:kern w:val="0"/>
                <w:sz w:val="24"/>
              </w:rPr>
            </w:pPr>
            <w:r>
              <w:rPr>
                <w:rFonts w:ascii="仿宋_GB2312" w:hAnsi="Times New Roman" w:eastAsia="仿宋_GB2312"/>
                <w:bCs/>
                <w:color w:val="auto"/>
                <w:kern w:val="0"/>
                <w:sz w:val="24"/>
              </w:rPr>
              <w:t>70</w:t>
            </w:r>
          </w:p>
        </w:tc>
        <w:tc>
          <w:tcPr>
            <w:tcW w:w="1011" w:type="dxa"/>
            <w:shd w:val="clear" w:color="auto" w:fill="auto"/>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bCs/>
                <w:color w:val="auto"/>
                <w:kern w:val="0"/>
                <w:sz w:val="24"/>
                <w:lang w:eastAsia="zh-CN"/>
              </w:rPr>
            </w:pPr>
            <w:r>
              <w:rPr>
                <w:rFonts w:hint="eastAsia" w:ascii="仿宋_GB2312" w:hAnsi="Times New Roman" w:eastAsia="仿宋_GB2312"/>
                <w:bCs/>
                <w:color w:val="auto"/>
                <w:kern w:val="0"/>
                <w:sz w:val="24"/>
                <w:lang w:eastAsia="zh-CN"/>
              </w:rPr>
              <w:t>６</w:t>
            </w:r>
          </w:p>
        </w:tc>
        <w:tc>
          <w:tcPr>
            <w:tcW w:w="4799" w:type="dxa"/>
            <w:vAlign w:val="center"/>
          </w:tcPr>
          <w:p>
            <w:pPr>
              <w:ind w:firstLine="48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每万户市场主体商标拥有量（件）</w:t>
            </w:r>
          </w:p>
        </w:tc>
        <w:tc>
          <w:tcPr>
            <w:tcW w:w="1417" w:type="dxa"/>
            <w:vAlign w:val="center"/>
          </w:tcPr>
          <w:p>
            <w:pPr>
              <w:jc w:val="center"/>
              <w:rPr>
                <w:rFonts w:hint="default" w:ascii="仿宋_GB2312" w:hAnsi="Times New Roman" w:eastAsia="仿宋_GB2312"/>
                <w:bCs/>
                <w:color w:val="auto"/>
                <w:kern w:val="0"/>
                <w:sz w:val="24"/>
                <w:lang w:val="en-US" w:eastAsia="zh-CN"/>
              </w:rPr>
            </w:pPr>
            <w:r>
              <w:rPr>
                <w:rFonts w:hint="eastAsia" w:ascii="仿宋_GB2312" w:hAnsi="Times New Roman" w:eastAsia="仿宋_GB2312"/>
                <w:bCs/>
                <w:color w:val="auto"/>
                <w:kern w:val="0"/>
                <w:sz w:val="24"/>
                <w:lang w:val="en-US" w:eastAsia="zh-CN"/>
              </w:rPr>
              <w:t>1183</w:t>
            </w:r>
          </w:p>
        </w:tc>
        <w:tc>
          <w:tcPr>
            <w:tcW w:w="2037" w:type="dxa"/>
            <w:vAlign w:val="center"/>
          </w:tcPr>
          <w:p>
            <w:pPr>
              <w:jc w:val="center"/>
              <w:rPr>
                <w:rFonts w:hint="default" w:ascii="仿宋_GB2312" w:hAnsi="Times New Roman" w:eastAsia="仿宋_GB2312"/>
                <w:bCs/>
                <w:color w:val="auto"/>
                <w:kern w:val="0"/>
                <w:sz w:val="24"/>
                <w:lang w:val="en-US" w:eastAsia="zh-CN"/>
              </w:rPr>
            </w:pPr>
            <w:r>
              <w:rPr>
                <w:rFonts w:hint="eastAsia" w:ascii="仿宋_GB2312" w:hAnsi="Times New Roman" w:eastAsia="仿宋_GB2312"/>
                <w:bCs/>
                <w:color w:val="auto"/>
                <w:kern w:val="0"/>
                <w:sz w:val="24"/>
                <w:lang w:val="en-US" w:eastAsia="zh-CN"/>
              </w:rPr>
              <w:t>1242</w:t>
            </w:r>
          </w:p>
        </w:tc>
        <w:tc>
          <w:tcPr>
            <w:tcW w:w="1011" w:type="dxa"/>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bCs/>
                <w:color w:val="auto"/>
                <w:kern w:val="0"/>
                <w:sz w:val="24"/>
                <w:lang w:eastAsia="zh-CN"/>
              </w:rPr>
            </w:pPr>
            <w:r>
              <w:rPr>
                <w:rFonts w:hint="eastAsia" w:ascii="仿宋_GB2312" w:hAnsi="Times New Roman" w:eastAsia="仿宋_GB2312"/>
                <w:bCs/>
                <w:color w:val="auto"/>
                <w:kern w:val="0"/>
                <w:sz w:val="24"/>
                <w:lang w:eastAsia="zh-CN"/>
              </w:rPr>
              <w:t>７</w:t>
            </w:r>
          </w:p>
        </w:tc>
        <w:tc>
          <w:tcPr>
            <w:tcW w:w="4799" w:type="dxa"/>
            <w:vAlign w:val="center"/>
          </w:tcPr>
          <w:p>
            <w:pPr>
              <w:ind w:firstLine="48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每万人口高价值发明专利拥有量（件）</w:t>
            </w:r>
          </w:p>
        </w:tc>
        <w:tc>
          <w:tcPr>
            <w:tcW w:w="1417" w:type="dxa"/>
            <w:vAlign w:val="center"/>
          </w:tcPr>
          <w:p>
            <w:pPr>
              <w:ind w:firstLine="210" w:firstLineChars="100"/>
              <w:jc w:val="center"/>
              <w:rPr>
                <w:rFonts w:hint="default" w:ascii="仿宋_GB2312" w:hAnsi="Times New Roman" w:eastAsia="仿宋_GB2312"/>
                <w:bCs/>
                <w:color w:val="auto"/>
                <w:kern w:val="0"/>
                <w:sz w:val="24"/>
                <w:lang w:val="en-US" w:eastAsia="zh-CN"/>
              </w:rPr>
            </w:pPr>
            <w:r>
              <w:rPr>
                <w:rFonts w:hint="eastAsia" w:ascii="仿宋_GB2312" w:hAnsi="Times New Roman" w:eastAsia="仿宋_GB2312"/>
                <w:bCs/>
                <w:color w:val="auto"/>
                <w:kern w:val="0"/>
                <w:szCs w:val="21"/>
                <w:lang w:val="en-US" w:eastAsia="zh-CN"/>
              </w:rPr>
              <w:t>0.8</w:t>
            </w:r>
          </w:p>
        </w:tc>
        <w:tc>
          <w:tcPr>
            <w:tcW w:w="2037" w:type="dxa"/>
            <w:vAlign w:val="center"/>
          </w:tcPr>
          <w:p>
            <w:pPr>
              <w:ind w:firstLine="240" w:firstLineChars="10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1.54</w:t>
            </w:r>
          </w:p>
        </w:tc>
        <w:tc>
          <w:tcPr>
            <w:tcW w:w="1011" w:type="dxa"/>
            <w:vAlign w:val="center"/>
          </w:tcPr>
          <w:p>
            <w:pPr>
              <w:jc w:val="center"/>
              <w:rPr>
                <w:rFonts w:hint="eastAsia" w:ascii="仿宋_GB2312" w:hAnsi="Times New Roman" w:eastAsia="仿宋_GB2312"/>
                <w:bCs/>
                <w:color w:val="auto"/>
                <w:kern w:val="0"/>
                <w:sz w:val="24"/>
                <w:lang w:eastAsia="zh-CN"/>
              </w:rPr>
            </w:pPr>
            <w:r>
              <w:rPr>
                <w:rFonts w:hint="eastAsia" w:ascii="仿宋_GB2312" w:hAnsi="Times New Roman" w:eastAsia="仿宋_GB2312"/>
                <w:bCs/>
                <w:color w:val="auto"/>
                <w:kern w:val="0"/>
                <w:sz w:val="24"/>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bCs/>
                <w:color w:val="auto"/>
                <w:kern w:val="0"/>
                <w:sz w:val="24"/>
                <w:lang w:eastAsia="zh-CN"/>
              </w:rPr>
            </w:pPr>
            <w:r>
              <w:rPr>
                <w:rFonts w:hint="eastAsia" w:ascii="仿宋_GB2312" w:hAnsi="Times New Roman" w:eastAsia="仿宋_GB2312"/>
                <w:bCs/>
                <w:color w:val="auto"/>
                <w:kern w:val="0"/>
                <w:sz w:val="24"/>
                <w:lang w:eastAsia="zh-CN"/>
              </w:rPr>
              <w:t>８</w:t>
            </w:r>
          </w:p>
        </w:tc>
        <w:tc>
          <w:tcPr>
            <w:tcW w:w="4799" w:type="dxa"/>
            <w:vAlign w:val="center"/>
          </w:tcPr>
          <w:p>
            <w:pPr>
              <w:ind w:firstLine="48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公众食品安全满意度（%）</w:t>
            </w:r>
          </w:p>
        </w:tc>
        <w:tc>
          <w:tcPr>
            <w:tcW w:w="1417" w:type="dxa"/>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76.28</w:t>
            </w:r>
          </w:p>
        </w:tc>
        <w:tc>
          <w:tcPr>
            <w:tcW w:w="2037" w:type="dxa"/>
            <w:vAlign w:val="center"/>
          </w:tcPr>
          <w:p>
            <w:pPr>
              <w:ind w:firstLine="240" w:firstLineChars="10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80</w:t>
            </w:r>
          </w:p>
        </w:tc>
        <w:tc>
          <w:tcPr>
            <w:tcW w:w="1011" w:type="dxa"/>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bCs/>
                <w:color w:val="auto"/>
                <w:kern w:val="0"/>
                <w:sz w:val="24"/>
                <w:lang w:eastAsia="zh-CN"/>
              </w:rPr>
            </w:pPr>
            <w:r>
              <w:rPr>
                <w:rFonts w:hint="eastAsia" w:ascii="仿宋_GB2312" w:hAnsi="Times New Roman" w:eastAsia="仿宋_GB2312"/>
                <w:bCs/>
                <w:color w:val="auto"/>
                <w:kern w:val="0"/>
                <w:sz w:val="24"/>
                <w:lang w:eastAsia="zh-CN"/>
              </w:rPr>
              <w:t>９</w:t>
            </w:r>
          </w:p>
        </w:tc>
        <w:tc>
          <w:tcPr>
            <w:tcW w:w="4799" w:type="dxa"/>
            <w:vAlign w:val="center"/>
          </w:tcPr>
          <w:p>
            <w:pPr>
              <w:ind w:firstLine="48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千人食品检验量（批次/千人）</w:t>
            </w:r>
          </w:p>
        </w:tc>
        <w:tc>
          <w:tcPr>
            <w:tcW w:w="1417" w:type="dxa"/>
            <w:vAlign w:val="center"/>
          </w:tcPr>
          <w:p>
            <w:pPr>
              <w:ind w:firstLine="240" w:firstLineChars="10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3</w:t>
            </w:r>
          </w:p>
        </w:tc>
        <w:tc>
          <w:tcPr>
            <w:tcW w:w="2037" w:type="dxa"/>
            <w:vAlign w:val="center"/>
          </w:tcPr>
          <w:p>
            <w:pPr>
              <w:ind w:firstLine="240" w:firstLineChars="10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3.2</w:t>
            </w:r>
          </w:p>
        </w:tc>
        <w:tc>
          <w:tcPr>
            <w:tcW w:w="1011" w:type="dxa"/>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bCs/>
                <w:color w:val="auto"/>
                <w:kern w:val="0"/>
                <w:sz w:val="24"/>
                <w:lang w:eastAsia="zh-CN"/>
              </w:rPr>
            </w:pPr>
            <w:r>
              <w:rPr>
                <w:rFonts w:hint="eastAsia" w:ascii="仿宋_GB2312" w:hAnsi="Times New Roman" w:eastAsia="仿宋_GB2312"/>
                <w:bCs/>
                <w:color w:val="auto"/>
                <w:kern w:val="0"/>
                <w:sz w:val="24"/>
              </w:rPr>
              <w:t>1</w:t>
            </w:r>
            <w:r>
              <w:rPr>
                <w:rFonts w:hint="eastAsia" w:ascii="仿宋_GB2312" w:hAnsi="Times New Roman" w:eastAsia="仿宋_GB2312"/>
                <w:bCs/>
                <w:color w:val="auto"/>
                <w:kern w:val="0"/>
                <w:sz w:val="24"/>
                <w:lang w:eastAsia="zh-CN"/>
              </w:rPr>
              <w:t>０</w:t>
            </w:r>
          </w:p>
        </w:tc>
        <w:tc>
          <w:tcPr>
            <w:tcW w:w="4799" w:type="dxa"/>
            <w:vAlign w:val="center"/>
          </w:tcPr>
          <w:p>
            <w:pPr>
              <w:ind w:firstLine="48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食品评价性抽检合格率（%）</w:t>
            </w:r>
          </w:p>
        </w:tc>
        <w:tc>
          <w:tcPr>
            <w:tcW w:w="1417" w:type="dxa"/>
            <w:vAlign w:val="center"/>
          </w:tcPr>
          <w:p>
            <w:pPr>
              <w:ind w:firstLine="240" w:firstLineChars="10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98</w:t>
            </w:r>
          </w:p>
        </w:tc>
        <w:tc>
          <w:tcPr>
            <w:tcW w:w="2037" w:type="dxa"/>
            <w:vAlign w:val="center"/>
          </w:tcPr>
          <w:p>
            <w:pPr>
              <w:ind w:firstLine="240" w:firstLineChars="10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98</w:t>
            </w:r>
          </w:p>
        </w:tc>
        <w:tc>
          <w:tcPr>
            <w:tcW w:w="1011" w:type="dxa"/>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bCs/>
                <w:color w:val="auto"/>
                <w:kern w:val="0"/>
                <w:sz w:val="24"/>
                <w:lang w:eastAsia="zh-CN"/>
              </w:rPr>
            </w:pPr>
            <w:r>
              <w:rPr>
                <w:rFonts w:hint="eastAsia" w:ascii="仿宋_GB2312" w:hAnsi="Times New Roman" w:eastAsia="仿宋_GB2312"/>
                <w:bCs/>
                <w:color w:val="auto"/>
                <w:kern w:val="0"/>
                <w:sz w:val="24"/>
              </w:rPr>
              <w:t>1</w:t>
            </w:r>
            <w:r>
              <w:rPr>
                <w:rFonts w:hint="eastAsia" w:ascii="仿宋_GB2312" w:hAnsi="Times New Roman" w:eastAsia="仿宋_GB2312"/>
                <w:bCs/>
                <w:color w:val="auto"/>
                <w:kern w:val="0"/>
                <w:sz w:val="24"/>
                <w:lang w:eastAsia="zh-CN"/>
              </w:rPr>
              <w:t>１</w:t>
            </w:r>
          </w:p>
        </w:tc>
        <w:tc>
          <w:tcPr>
            <w:tcW w:w="4799" w:type="dxa"/>
            <w:vAlign w:val="center"/>
          </w:tcPr>
          <w:p>
            <w:pPr>
              <w:ind w:firstLine="48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药品评价性抽检合格率（%）</w:t>
            </w:r>
          </w:p>
        </w:tc>
        <w:tc>
          <w:tcPr>
            <w:tcW w:w="1417" w:type="dxa"/>
            <w:vAlign w:val="center"/>
          </w:tcPr>
          <w:p>
            <w:pPr>
              <w:ind w:firstLine="210" w:firstLineChars="100"/>
              <w:jc w:val="center"/>
              <w:rPr>
                <w:rFonts w:ascii="仿宋_GB2312" w:hAnsi="Times New Roman" w:eastAsia="仿宋_GB2312"/>
                <w:bCs/>
                <w:color w:val="auto"/>
                <w:kern w:val="0"/>
                <w:szCs w:val="21"/>
                <w:lang w:val="en"/>
              </w:rPr>
            </w:pPr>
            <w:r>
              <w:rPr>
                <w:rFonts w:hint="eastAsia" w:ascii="仿宋_GB2312" w:hAnsi="Times New Roman" w:eastAsia="仿宋_GB2312"/>
                <w:bCs/>
                <w:color w:val="auto"/>
                <w:kern w:val="0"/>
                <w:szCs w:val="21"/>
              </w:rPr>
              <w:t>/</w:t>
            </w:r>
          </w:p>
        </w:tc>
        <w:tc>
          <w:tcPr>
            <w:tcW w:w="2037" w:type="dxa"/>
            <w:vAlign w:val="center"/>
          </w:tcPr>
          <w:p>
            <w:pPr>
              <w:ind w:firstLine="210" w:firstLineChars="100"/>
              <w:jc w:val="center"/>
              <w:rPr>
                <w:rFonts w:ascii="仿宋_GB2312" w:hAnsi="Times New Roman" w:eastAsia="仿宋_GB2312"/>
                <w:bCs/>
                <w:color w:val="auto"/>
                <w:kern w:val="0"/>
                <w:szCs w:val="21"/>
                <w:lang w:val="en"/>
              </w:rPr>
            </w:pPr>
            <w:r>
              <w:rPr>
                <w:rFonts w:hint="eastAsia" w:ascii="仿宋_GB2312" w:hAnsi="Times New Roman" w:eastAsia="仿宋_GB2312"/>
                <w:bCs/>
                <w:color w:val="auto"/>
                <w:kern w:val="0"/>
                <w:szCs w:val="21"/>
              </w:rPr>
              <w:t>/</w:t>
            </w:r>
          </w:p>
        </w:tc>
        <w:tc>
          <w:tcPr>
            <w:tcW w:w="1011" w:type="dxa"/>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bCs/>
                <w:color w:val="auto"/>
                <w:kern w:val="0"/>
                <w:sz w:val="24"/>
                <w:lang w:eastAsia="zh-CN"/>
              </w:rPr>
            </w:pPr>
            <w:r>
              <w:rPr>
                <w:rFonts w:hint="eastAsia" w:ascii="仿宋_GB2312" w:hAnsi="Times New Roman" w:eastAsia="仿宋_GB2312"/>
                <w:bCs/>
                <w:color w:val="auto"/>
                <w:kern w:val="0"/>
                <w:sz w:val="24"/>
              </w:rPr>
              <w:t>1</w:t>
            </w:r>
            <w:r>
              <w:rPr>
                <w:rFonts w:hint="eastAsia" w:ascii="仿宋_GB2312" w:hAnsi="Times New Roman" w:eastAsia="仿宋_GB2312"/>
                <w:bCs/>
                <w:color w:val="auto"/>
                <w:kern w:val="0"/>
                <w:sz w:val="24"/>
                <w:lang w:eastAsia="zh-CN"/>
              </w:rPr>
              <w:t>２</w:t>
            </w:r>
          </w:p>
        </w:tc>
        <w:tc>
          <w:tcPr>
            <w:tcW w:w="4799" w:type="dxa"/>
            <w:vAlign w:val="center"/>
          </w:tcPr>
          <w:p>
            <w:pPr>
              <w:ind w:firstLine="48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主要农产品质量安全监测合格率（%）</w:t>
            </w:r>
          </w:p>
        </w:tc>
        <w:tc>
          <w:tcPr>
            <w:tcW w:w="1417" w:type="dxa"/>
            <w:vAlign w:val="center"/>
          </w:tcPr>
          <w:p>
            <w:pPr>
              <w:ind w:firstLine="210" w:firstLineChars="100"/>
              <w:jc w:val="center"/>
              <w:rPr>
                <w:rFonts w:ascii="仿宋_GB2312" w:hAnsi="Times New Roman" w:eastAsia="仿宋_GB2312"/>
                <w:bCs/>
                <w:color w:val="auto"/>
                <w:kern w:val="0"/>
                <w:szCs w:val="21"/>
              </w:rPr>
            </w:pPr>
            <w:r>
              <w:rPr>
                <w:rFonts w:hint="eastAsia" w:ascii="仿宋_GB2312" w:hAnsi="Times New Roman" w:eastAsia="仿宋_GB2312"/>
                <w:bCs/>
                <w:color w:val="auto"/>
                <w:kern w:val="0"/>
                <w:szCs w:val="21"/>
              </w:rPr>
              <w:t>９５</w:t>
            </w:r>
          </w:p>
        </w:tc>
        <w:tc>
          <w:tcPr>
            <w:tcW w:w="2037" w:type="dxa"/>
            <w:vAlign w:val="center"/>
          </w:tcPr>
          <w:p>
            <w:pPr>
              <w:ind w:firstLine="210" w:firstLineChars="100"/>
              <w:jc w:val="center"/>
              <w:rPr>
                <w:rFonts w:ascii="仿宋_GB2312" w:hAnsi="Times New Roman" w:eastAsia="仿宋_GB2312"/>
                <w:bCs/>
                <w:color w:val="auto"/>
                <w:kern w:val="0"/>
                <w:szCs w:val="21"/>
              </w:rPr>
            </w:pPr>
            <w:r>
              <w:rPr>
                <w:rFonts w:hint="eastAsia" w:ascii="仿宋_GB2312" w:hAnsi="Times New Roman" w:eastAsia="仿宋_GB2312"/>
                <w:bCs/>
                <w:color w:val="auto"/>
                <w:kern w:val="0"/>
                <w:szCs w:val="21"/>
              </w:rPr>
              <w:t>９５</w:t>
            </w:r>
          </w:p>
        </w:tc>
        <w:tc>
          <w:tcPr>
            <w:tcW w:w="1011" w:type="dxa"/>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bCs/>
                <w:color w:val="auto"/>
                <w:kern w:val="0"/>
                <w:sz w:val="24"/>
                <w:lang w:eastAsia="zh-CN"/>
              </w:rPr>
            </w:pPr>
            <w:r>
              <w:rPr>
                <w:rFonts w:hint="eastAsia" w:ascii="仿宋_GB2312" w:hAnsi="Times New Roman" w:eastAsia="仿宋_GB2312"/>
                <w:bCs/>
                <w:color w:val="auto"/>
                <w:kern w:val="0"/>
                <w:sz w:val="24"/>
              </w:rPr>
              <w:t>1</w:t>
            </w:r>
            <w:r>
              <w:rPr>
                <w:rFonts w:hint="eastAsia" w:ascii="仿宋_GB2312" w:hAnsi="Times New Roman" w:eastAsia="仿宋_GB2312"/>
                <w:bCs/>
                <w:color w:val="auto"/>
                <w:kern w:val="0"/>
                <w:sz w:val="24"/>
                <w:lang w:eastAsia="zh-CN"/>
              </w:rPr>
              <w:t>３</w:t>
            </w:r>
          </w:p>
        </w:tc>
        <w:tc>
          <w:tcPr>
            <w:tcW w:w="4799" w:type="dxa"/>
            <w:vAlign w:val="center"/>
          </w:tcPr>
          <w:p>
            <w:pPr>
              <w:ind w:firstLine="48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万台特种设备死亡率</w:t>
            </w:r>
          </w:p>
        </w:tc>
        <w:tc>
          <w:tcPr>
            <w:tcW w:w="1417" w:type="dxa"/>
            <w:vAlign w:val="center"/>
          </w:tcPr>
          <w:p>
            <w:pPr>
              <w:ind w:firstLine="210" w:firstLineChars="100"/>
              <w:jc w:val="center"/>
              <w:rPr>
                <w:rFonts w:ascii="仿宋_GB2312" w:hAnsi="Times New Roman" w:eastAsia="仿宋_GB2312"/>
                <w:bCs/>
                <w:color w:val="auto"/>
                <w:kern w:val="0"/>
                <w:szCs w:val="21"/>
              </w:rPr>
            </w:pPr>
            <w:r>
              <w:rPr>
                <w:rFonts w:hint="eastAsia" w:ascii="仿宋_GB2312" w:hAnsi="Times New Roman" w:eastAsia="仿宋_GB2312"/>
                <w:bCs/>
                <w:color w:val="auto"/>
                <w:kern w:val="0"/>
                <w:szCs w:val="21"/>
              </w:rPr>
              <w:t>０.３８</w:t>
            </w:r>
          </w:p>
        </w:tc>
        <w:tc>
          <w:tcPr>
            <w:tcW w:w="2037" w:type="dxa"/>
            <w:vAlign w:val="center"/>
          </w:tcPr>
          <w:p>
            <w:pPr>
              <w:ind w:firstLine="210" w:firstLineChars="100"/>
              <w:jc w:val="center"/>
              <w:rPr>
                <w:rFonts w:hint="default" w:ascii="仿宋_GB2312" w:hAnsi="Times New Roman" w:eastAsia="仿宋_GB2312"/>
                <w:bCs/>
                <w:color w:val="auto"/>
                <w:kern w:val="0"/>
                <w:szCs w:val="21"/>
                <w:lang w:val="en-US" w:eastAsia="zh-CN"/>
              </w:rPr>
            </w:pPr>
            <w:r>
              <w:rPr>
                <w:rFonts w:hint="eastAsia" w:ascii="仿宋_GB2312" w:hAnsi="Times New Roman" w:eastAsia="仿宋_GB2312"/>
                <w:bCs/>
                <w:color w:val="auto"/>
                <w:kern w:val="0"/>
                <w:szCs w:val="21"/>
                <w:lang w:val="en-US" w:eastAsia="zh-CN"/>
              </w:rPr>
              <w:t>0.1</w:t>
            </w:r>
          </w:p>
        </w:tc>
        <w:tc>
          <w:tcPr>
            <w:tcW w:w="1011" w:type="dxa"/>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bCs/>
                <w:color w:val="auto"/>
                <w:kern w:val="0"/>
                <w:sz w:val="24"/>
                <w:lang w:eastAsia="zh-CN"/>
              </w:rPr>
            </w:pPr>
            <w:r>
              <w:rPr>
                <w:rFonts w:hint="eastAsia" w:ascii="仿宋_GB2312" w:hAnsi="Times New Roman" w:eastAsia="仿宋_GB2312"/>
                <w:bCs/>
                <w:color w:val="auto"/>
                <w:kern w:val="0"/>
                <w:sz w:val="24"/>
              </w:rPr>
              <w:t>1</w:t>
            </w:r>
            <w:r>
              <w:rPr>
                <w:rFonts w:hint="eastAsia" w:ascii="仿宋_GB2312" w:hAnsi="Times New Roman" w:eastAsia="仿宋_GB2312"/>
                <w:bCs/>
                <w:color w:val="auto"/>
                <w:kern w:val="0"/>
                <w:sz w:val="24"/>
                <w:lang w:eastAsia="zh-CN"/>
              </w:rPr>
              <w:t>４</w:t>
            </w:r>
          </w:p>
        </w:tc>
        <w:tc>
          <w:tcPr>
            <w:tcW w:w="4799" w:type="dxa"/>
            <w:vAlign w:val="center"/>
          </w:tcPr>
          <w:p>
            <w:pPr>
              <w:ind w:firstLine="48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重点工业产品监督抽查合格率（%）</w:t>
            </w:r>
          </w:p>
        </w:tc>
        <w:tc>
          <w:tcPr>
            <w:tcW w:w="1417" w:type="dxa"/>
            <w:vAlign w:val="center"/>
          </w:tcPr>
          <w:p>
            <w:pPr>
              <w:ind w:firstLine="105" w:firstLineChars="50"/>
              <w:jc w:val="center"/>
              <w:rPr>
                <w:rFonts w:ascii="仿宋_GB2312" w:hAnsi="Times New Roman" w:eastAsia="仿宋_GB2312"/>
                <w:bCs/>
                <w:color w:val="auto"/>
                <w:kern w:val="0"/>
                <w:szCs w:val="21"/>
              </w:rPr>
            </w:pPr>
            <w:r>
              <w:rPr>
                <w:rFonts w:hint="eastAsia" w:ascii="仿宋_GB2312" w:hAnsi="Times New Roman" w:eastAsia="仿宋_GB2312"/>
                <w:bCs/>
                <w:color w:val="auto"/>
                <w:kern w:val="0"/>
                <w:szCs w:val="21"/>
              </w:rPr>
              <w:t>91.7</w:t>
            </w:r>
          </w:p>
        </w:tc>
        <w:tc>
          <w:tcPr>
            <w:tcW w:w="2037" w:type="dxa"/>
            <w:vAlign w:val="center"/>
          </w:tcPr>
          <w:p>
            <w:pPr>
              <w:ind w:firstLine="105" w:firstLineChars="50"/>
              <w:jc w:val="center"/>
              <w:rPr>
                <w:rFonts w:ascii="仿宋_GB2312" w:hAnsi="Times New Roman" w:eastAsia="仿宋_GB2312"/>
                <w:bCs/>
                <w:color w:val="auto"/>
                <w:kern w:val="0"/>
                <w:szCs w:val="21"/>
              </w:rPr>
            </w:pPr>
            <w:r>
              <w:rPr>
                <w:rFonts w:hint="eastAsia" w:ascii="仿宋_GB2312" w:hAnsi="Times New Roman" w:eastAsia="仿宋_GB2312"/>
                <w:bCs/>
                <w:color w:val="auto"/>
                <w:kern w:val="0"/>
                <w:szCs w:val="21"/>
              </w:rPr>
              <w:t>92.0</w:t>
            </w:r>
          </w:p>
        </w:tc>
        <w:tc>
          <w:tcPr>
            <w:tcW w:w="1011" w:type="dxa"/>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bCs/>
                <w:color w:val="auto"/>
                <w:kern w:val="0"/>
                <w:sz w:val="24"/>
                <w:lang w:eastAsia="zh-CN"/>
              </w:rPr>
            </w:pPr>
            <w:r>
              <w:rPr>
                <w:rFonts w:hint="eastAsia" w:ascii="仿宋_GB2312" w:hAnsi="Times New Roman" w:eastAsia="仿宋_GB2312"/>
                <w:bCs/>
                <w:color w:val="auto"/>
                <w:kern w:val="0"/>
                <w:sz w:val="24"/>
              </w:rPr>
              <w:t>1</w:t>
            </w:r>
            <w:r>
              <w:rPr>
                <w:rFonts w:hint="eastAsia" w:ascii="仿宋_GB2312" w:hAnsi="Times New Roman" w:eastAsia="仿宋_GB2312"/>
                <w:bCs/>
                <w:color w:val="auto"/>
                <w:kern w:val="0"/>
                <w:sz w:val="24"/>
                <w:lang w:eastAsia="zh-CN"/>
              </w:rPr>
              <w:t>５</w:t>
            </w:r>
          </w:p>
        </w:tc>
        <w:tc>
          <w:tcPr>
            <w:tcW w:w="4799" w:type="dxa"/>
            <w:vAlign w:val="center"/>
          </w:tcPr>
          <w:p>
            <w:pPr>
              <w:ind w:firstLine="48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制造业产品质量合格率（%）</w:t>
            </w:r>
          </w:p>
        </w:tc>
        <w:tc>
          <w:tcPr>
            <w:tcW w:w="1417" w:type="dxa"/>
            <w:vAlign w:val="center"/>
          </w:tcPr>
          <w:p>
            <w:pPr>
              <w:ind w:firstLine="105" w:firstLineChars="50"/>
              <w:jc w:val="center"/>
              <w:rPr>
                <w:rFonts w:hint="default" w:ascii="仿宋_GB2312" w:hAnsi="Times New Roman" w:eastAsia="仿宋_GB2312"/>
                <w:bCs/>
                <w:color w:val="auto"/>
                <w:kern w:val="0"/>
                <w:szCs w:val="21"/>
                <w:lang w:val="en-US" w:eastAsia="zh-CN"/>
              </w:rPr>
            </w:pPr>
            <w:r>
              <w:rPr>
                <w:rFonts w:hint="eastAsia" w:ascii="仿宋_GB2312" w:hAnsi="Times New Roman" w:eastAsia="仿宋_GB2312"/>
                <w:bCs/>
                <w:color w:val="auto"/>
                <w:kern w:val="0"/>
                <w:szCs w:val="21"/>
                <w:lang w:val="en-US" w:eastAsia="zh-CN"/>
              </w:rPr>
              <w:t>92.44</w:t>
            </w:r>
          </w:p>
        </w:tc>
        <w:tc>
          <w:tcPr>
            <w:tcW w:w="2037" w:type="dxa"/>
            <w:vAlign w:val="center"/>
          </w:tcPr>
          <w:p>
            <w:pPr>
              <w:ind w:firstLine="105" w:firstLineChars="50"/>
              <w:jc w:val="center"/>
              <w:rPr>
                <w:rFonts w:hint="default" w:ascii="仿宋_GB2312" w:hAnsi="Times New Roman" w:eastAsia="仿宋_GB2312"/>
                <w:bCs/>
                <w:color w:val="auto"/>
                <w:kern w:val="0"/>
                <w:szCs w:val="21"/>
                <w:lang w:val="en-US" w:eastAsia="zh-CN"/>
              </w:rPr>
            </w:pPr>
            <w:r>
              <w:rPr>
                <w:rFonts w:hint="eastAsia" w:ascii="仿宋_GB2312" w:hAnsi="Times New Roman" w:eastAsia="仿宋_GB2312"/>
                <w:bCs/>
                <w:color w:val="auto"/>
                <w:kern w:val="0"/>
                <w:szCs w:val="21"/>
                <w:lang w:val="en-US" w:eastAsia="zh-CN"/>
              </w:rPr>
              <w:t>93.9</w:t>
            </w:r>
          </w:p>
        </w:tc>
        <w:tc>
          <w:tcPr>
            <w:tcW w:w="1011" w:type="dxa"/>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bCs/>
                <w:color w:val="auto"/>
                <w:kern w:val="0"/>
                <w:sz w:val="24"/>
                <w:lang w:eastAsia="zh-CN"/>
              </w:rPr>
            </w:pPr>
            <w:r>
              <w:rPr>
                <w:rFonts w:hint="eastAsia" w:ascii="仿宋_GB2312" w:hAnsi="Times New Roman" w:eastAsia="仿宋_GB2312"/>
                <w:bCs/>
                <w:color w:val="auto"/>
                <w:kern w:val="0"/>
                <w:sz w:val="24"/>
              </w:rPr>
              <w:t>1</w:t>
            </w:r>
            <w:r>
              <w:rPr>
                <w:rFonts w:hint="eastAsia" w:ascii="仿宋_GB2312" w:hAnsi="Times New Roman" w:eastAsia="仿宋_GB2312"/>
                <w:bCs/>
                <w:color w:val="auto"/>
                <w:kern w:val="0"/>
                <w:sz w:val="24"/>
                <w:lang w:eastAsia="zh-CN"/>
              </w:rPr>
              <w:t>６</w:t>
            </w:r>
          </w:p>
        </w:tc>
        <w:tc>
          <w:tcPr>
            <w:tcW w:w="4799" w:type="dxa"/>
            <w:vAlign w:val="center"/>
          </w:tcPr>
          <w:p>
            <w:pPr>
              <w:ind w:firstLine="48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公共服务质量满意度（分）</w:t>
            </w:r>
          </w:p>
        </w:tc>
        <w:tc>
          <w:tcPr>
            <w:tcW w:w="1417" w:type="dxa"/>
            <w:vAlign w:val="center"/>
          </w:tcPr>
          <w:p>
            <w:pPr>
              <w:jc w:val="center"/>
              <w:rPr>
                <w:rFonts w:ascii="仿宋_GB2312" w:hAnsi="Times New Roman" w:eastAsia="仿宋_GB2312"/>
                <w:bCs/>
                <w:color w:val="auto"/>
                <w:kern w:val="0"/>
                <w:szCs w:val="21"/>
              </w:rPr>
            </w:pPr>
            <w:r>
              <w:rPr>
                <w:rFonts w:hint="eastAsia" w:ascii="仿宋_GB2312" w:hAnsi="Times New Roman" w:eastAsia="仿宋_GB2312"/>
                <w:bCs/>
                <w:color w:val="auto"/>
                <w:kern w:val="0"/>
                <w:szCs w:val="21"/>
              </w:rPr>
              <w:t>70.63</w:t>
            </w:r>
          </w:p>
        </w:tc>
        <w:tc>
          <w:tcPr>
            <w:tcW w:w="2037" w:type="dxa"/>
            <w:vAlign w:val="center"/>
          </w:tcPr>
          <w:p>
            <w:pPr>
              <w:ind w:firstLine="210" w:firstLineChars="100"/>
              <w:jc w:val="center"/>
              <w:rPr>
                <w:rFonts w:ascii="仿宋_GB2312" w:hAnsi="Times New Roman" w:eastAsia="仿宋_GB2312"/>
                <w:bCs/>
                <w:color w:val="auto"/>
                <w:kern w:val="0"/>
                <w:szCs w:val="21"/>
              </w:rPr>
            </w:pPr>
            <w:r>
              <w:rPr>
                <w:rFonts w:hint="eastAsia" w:ascii="仿宋_GB2312" w:hAnsi="Times New Roman" w:eastAsia="仿宋_GB2312"/>
                <w:bCs/>
                <w:color w:val="auto"/>
                <w:kern w:val="0"/>
                <w:szCs w:val="21"/>
              </w:rPr>
              <w:t>72</w:t>
            </w:r>
          </w:p>
        </w:tc>
        <w:tc>
          <w:tcPr>
            <w:tcW w:w="1011" w:type="dxa"/>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bCs/>
                <w:color w:val="auto"/>
                <w:kern w:val="0"/>
                <w:sz w:val="24"/>
                <w:lang w:eastAsia="zh-CN"/>
              </w:rPr>
            </w:pPr>
            <w:r>
              <w:rPr>
                <w:rFonts w:hint="eastAsia" w:ascii="仿宋_GB2312" w:hAnsi="Times New Roman" w:eastAsia="仿宋_GB2312"/>
                <w:bCs/>
                <w:color w:val="auto"/>
                <w:kern w:val="0"/>
                <w:sz w:val="24"/>
              </w:rPr>
              <w:t>1</w:t>
            </w:r>
            <w:r>
              <w:rPr>
                <w:rFonts w:hint="eastAsia" w:ascii="仿宋_GB2312" w:hAnsi="Times New Roman" w:eastAsia="仿宋_GB2312"/>
                <w:bCs/>
                <w:color w:val="auto"/>
                <w:kern w:val="0"/>
                <w:sz w:val="24"/>
                <w:lang w:eastAsia="zh-CN"/>
              </w:rPr>
              <w:t>７</w:t>
            </w:r>
          </w:p>
        </w:tc>
        <w:tc>
          <w:tcPr>
            <w:tcW w:w="4799"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一般事项双随机抽查比例（%）</w:t>
            </w:r>
          </w:p>
        </w:tc>
        <w:tc>
          <w:tcPr>
            <w:tcW w:w="1417" w:type="dxa"/>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仿宋_GB2312" w:hAnsi="Times New Roman" w:eastAsia="仿宋_GB2312"/>
                <w:bCs/>
                <w:color w:val="auto"/>
                <w:kern w:val="0"/>
                <w:szCs w:val="21"/>
                <w:lang w:val="en"/>
              </w:rPr>
            </w:pPr>
            <w:r>
              <w:rPr>
                <w:rFonts w:hint="eastAsia" w:ascii="仿宋_GB2312" w:hAnsi="Times New Roman" w:eastAsia="仿宋_GB2312"/>
                <w:bCs/>
                <w:color w:val="auto"/>
                <w:kern w:val="0"/>
                <w:szCs w:val="21"/>
              </w:rPr>
              <w:t>３</w:t>
            </w:r>
          </w:p>
        </w:tc>
        <w:tc>
          <w:tcPr>
            <w:tcW w:w="2037" w:type="dxa"/>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仿宋_GB2312" w:hAnsi="Times New Roman" w:eastAsia="仿宋_GB2312"/>
                <w:bCs/>
                <w:color w:val="auto"/>
                <w:kern w:val="0"/>
                <w:szCs w:val="21"/>
                <w:lang w:val="en"/>
              </w:rPr>
            </w:pPr>
            <w:r>
              <w:rPr>
                <w:rFonts w:hint="eastAsia" w:ascii="仿宋_GB2312" w:hAnsi="Times New Roman" w:eastAsia="仿宋_GB2312"/>
                <w:bCs/>
                <w:color w:val="auto"/>
                <w:kern w:val="0"/>
                <w:szCs w:val="21"/>
              </w:rPr>
              <w:t>５</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bCs/>
                <w:color w:val="auto"/>
                <w:kern w:val="0"/>
                <w:sz w:val="24"/>
                <w:lang w:eastAsia="zh-CN"/>
              </w:rPr>
            </w:pPr>
            <w:r>
              <w:rPr>
                <w:rFonts w:hint="eastAsia" w:ascii="仿宋_GB2312" w:hAnsi="Times New Roman" w:eastAsia="仿宋_GB2312"/>
                <w:bCs/>
                <w:color w:val="auto"/>
                <w:kern w:val="0"/>
                <w:sz w:val="24"/>
                <w:lang w:eastAsia="zh-CN"/>
              </w:rPr>
              <w:t>１８</w:t>
            </w:r>
          </w:p>
        </w:tc>
        <w:tc>
          <w:tcPr>
            <w:tcW w:w="4799"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消费投诉按期办结率（%）</w:t>
            </w:r>
          </w:p>
        </w:tc>
        <w:tc>
          <w:tcPr>
            <w:tcW w:w="1417" w:type="dxa"/>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仿宋_GB2312" w:hAnsi="Times New Roman" w:eastAsia="仿宋_GB2312"/>
                <w:bCs/>
                <w:color w:val="auto"/>
                <w:kern w:val="0"/>
                <w:szCs w:val="21"/>
              </w:rPr>
            </w:pPr>
            <w:r>
              <w:rPr>
                <w:rFonts w:hint="eastAsia" w:ascii="仿宋_GB2312" w:hAnsi="Times New Roman" w:eastAsia="仿宋_GB2312"/>
                <w:bCs/>
                <w:color w:val="auto"/>
                <w:kern w:val="0"/>
                <w:szCs w:val="21"/>
              </w:rPr>
              <w:t>９８</w:t>
            </w:r>
          </w:p>
        </w:tc>
        <w:tc>
          <w:tcPr>
            <w:tcW w:w="2037" w:type="dxa"/>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仿宋_GB2312" w:hAnsi="Times New Roman" w:eastAsia="仿宋_GB2312"/>
                <w:bCs/>
                <w:color w:val="auto"/>
                <w:kern w:val="0"/>
                <w:szCs w:val="21"/>
              </w:rPr>
            </w:pPr>
            <w:r>
              <w:rPr>
                <w:rFonts w:hint="eastAsia" w:ascii="仿宋_GB2312" w:hAnsi="Times New Roman" w:eastAsia="仿宋_GB2312"/>
                <w:bCs/>
                <w:color w:val="auto"/>
                <w:kern w:val="0"/>
                <w:szCs w:val="21"/>
              </w:rPr>
              <w:t>98</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bCs/>
                <w:color w:val="auto"/>
                <w:kern w:val="0"/>
                <w:sz w:val="24"/>
                <w:lang w:eastAsia="zh-CN"/>
              </w:rPr>
            </w:pPr>
            <w:r>
              <w:rPr>
                <w:rFonts w:hint="eastAsia" w:ascii="仿宋_GB2312" w:hAnsi="Times New Roman" w:eastAsia="仿宋_GB2312"/>
                <w:bCs/>
                <w:color w:val="auto"/>
                <w:kern w:val="0"/>
                <w:sz w:val="24"/>
                <w:lang w:eastAsia="zh-CN"/>
              </w:rPr>
              <w:t>１９</w:t>
            </w:r>
          </w:p>
        </w:tc>
        <w:tc>
          <w:tcPr>
            <w:tcW w:w="4799"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举报按期核查率（%）</w:t>
            </w:r>
          </w:p>
        </w:tc>
        <w:tc>
          <w:tcPr>
            <w:tcW w:w="1417" w:type="dxa"/>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仿宋_GB2312" w:hAnsi="Times New Roman" w:eastAsia="仿宋_GB2312"/>
                <w:bCs/>
                <w:color w:val="auto"/>
                <w:kern w:val="0"/>
                <w:szCs w:val="21"/>
              </w:rPr>
            </w:pPr>
            <w:r>
              <w:rPr>
                <w:rFonts w:hint="eastAsia" w:ascii="仿宋_GB2312" w:hAnsi="Times New Roman" w:eastAsia="仿宋_GB2312"/>
                <w:bCs/>
                <w:color w:val="auto"/>
                <w:kern w:val="0"/>
                <w:szCs w:val="21"/>
              </w:rPr>
              <w:t>９８</w:t>
            </w:r>
          </w:p>
        </w:tc>
        <w:tc>
          <w:tcPr>
            <w:tcW w:w="2037" w:type="dxa"/>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仿宋_GB2312" w:hAnsi="Times New Roman" w:eastAsia="仿宋_GB2312"/>
                <w:bCs/>
                <w:color w:val="auto"/>
                <w:kern w:val="0"/>
                <w:szCs w:val="21"/>
              </w:rPr>
            </w:pPr>
            <w:r>
              <w:rPr>
                <w:rFonts w:hint="eastAsia" w:ascii="仿宋_GB2312" w:hAnsi="Times New Roman" w:eastAsia="仿宋_GB2312"/>
                <w:bCs/>
                <w:color w:val="auto"/>
                <w:kern w:val="0"/>
                <w:szCs w:val="21"/>
              </w:rPr>
              <w:t>98</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bCs/>
                <w:color w:val="auto"/>
                <w:kern w:val="0"/>
                <w:sz w:val="24"/>
                <w:lang w:eastAsia="zh-CN"/>
              </w:rPr>
            </w:pPr>
            <w:r>
              <w:rPr>
                <w:rFonts w:hint="eastAsia" w:ascii="仿宋_GB2312" w:hAnsi="Times New Roman" w:eastAsia="仿宋_GB2312"/>
                <w:bCs/>
                <w:color w:val="auto"/>
                <w:kern w:val="0"/>
                <w:sz w:val="24"/>
              </w:rPr>
              <w:t>2</w:t>
            </w:r>
            <w:r>
              <w:rPr>
                <w:rFonts w:hint="eastAsia" w:ascii="仿宋_GB2312" w:hAnsi="Times New Roman" w:eastAsia="仿宋_GB2312"/>
                <w:bCs/>
                <w:color w:val="auto"/>
                <w:kern w:val="0"/>
                <w:sz w:val="24"/>
                <w:lang w:eastAsia="zh-CN"/>
              </w:rPr>
              <w:t>０</w:t>
            </w:r>
          </w:p>
        </w:tc>
        <w:tc>
          <w:tcPr>
            <w:tcW w:w="4799"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国家、省级市场监管</w:t>
            </w:r>
            <w:r>
              <w:rPr>
                <w:rFonts w:hint="eastAsia" w:ascii="仿宋_GB2312" w:hAnsi="Times New Roman" w:eastAsia="仿宋_GB2312"/>
                <w:bCs/>
                <w:color w:val="auto"/>
                <w:kern w:val="0"/>
                <w:sz w:val="24"/>
                <w:lang w:eastAsia="zh-CN"/>
              </w:rPr>
              <w:t>（药品监管）</w:t>
            </w:r>
            <w:r>
              <w:rPr>
                <w:rFonts w:hint="eastAsia" w:ascii="仿宋_GB2312" w:hAnsi="Times New Roman" w:eastAsia="仿宋_GB2312"/>
                <w:bCs/>
                <w:color w:val="auto"/>
                <w:kern w:val="0"/>
                <w:sz w:val="24"/>
              </w:rPr>
              <w:t>重点实验室、技术创新中心（个）</w:t>
            </w:r>
          </w:p>
        </w:tc>
        <w:tc>
          <w:tcPr>
            <w:tcW w:w="1417" w:type="dxa"/>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仿宋_GB2312" w:hAnsi="Times New Roman" w:eastAsia="仿宋_GB2312"/>
                <w:bCs/>
                <w:color w:val="auto"/>
                <w:kern w:val="0"/>
                <w:szCs w:val="21"/>
              </w:rPr>
            </w:pPr>
            <w:r>
              <w:rPr>
                <w:rFonts w:hint="eastAsia" w:ascii="仿宋_GB2312" w:hAnsi="Times New Roman" w:eastAsia="仿宋_GB2312"/>
                <w:bCs/>
                <w:color w:val="auto"/>
                <w:kern w:val="0"/>
                <w:szCs w:val="21"/>
              </w:rPr>
              <w:t>/</w:t>
            </w:r>
          </w:p>
        </w:tc>
        <w:tc>
          <w:tcPr>
            <w:tcW w:w="2037" w:type="dxa"/>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hint="eastAsia" w:ascii="仿宋_GB2312" w:hAnsi="Times New Roman" w:eastAsia="仿宋_GB2312"/>
                <w:bCs/>
                <w:color w:val="auto"/>
                <w:kern w:val="0"/>
                <w:szCs w:val="21"/>
                <w:lang w:eastAsia="zh-CN"/>
              </w:rPr>
            </w:pPr>
            <w:r>
              <w:rPr>
                <w:rFonts w:hint="eastAsia" w:ascii="仿宋_GB2312" w:hAnsi="Times New Roman" w:eastAsia="仿宋_GB2312"/>
                <w:bCs/>
                <w:color w:val="auto"/>
                <w:kern w:val="0"/>
                <w:szCs w:val="21"/>
                <w:lang w:val="en-US" w:eastAsia="zh-CN"/>
              </w:rPr>
              <w:t>1</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bCs/>
                <w:color w:val="auto"/>
                <w:kern w:val="0"/>
                <w:sz w:val="24"/>
                <w:lang w:eastAsia="zh-CN"/>
              </w:rPr>
            </w:pPr>
            <w:r>
              <w:rPr>
                <w:rFonts w:hint="eastAsia" w:ascii="仿宋_GB2312" w:hAnsi="Times New Roman" w:eastAsia="仿宋_GB2312"/>
                <w:bCs/>
                <w:color w:val="auto"/>
                <w:kern w:val="0"/>
                <w:sz w:val="24"/>
              </w:rPr>
              <w:t>2</w:t>
            </w:r>
            <w:r>
              <w:rPr>
                <w:rFonts w:hint="eastAsia" w:ascii="仿宋_GB2312" w:hAnsi="Times New Roman" w:eastAsia="仿宋_GB2312"/>
                <w:bCs/>
                <w:color w:val="auto"/>
                <w:kern w:val="0"/>
                <w:sz w:val="24"/>
                <w:lang w:eastAsia="zh-CN"/>
              </w:rPr>
              <w:t>１</w:t>
            </w:r>
          </w:p>
        </w:tc>
        <w:tc>
          <w:tcPr>
            <w:tcW w:w="4799"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国家级质检中心（家）</w:t>
            </w:r>
          </w:p>
        </w:tc>
        <w:tc>
          <w:tcPr>
            <w:tcW w:w="1417" w:type="dxa"/>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仿宋_GB2312" w:hAnsi="Times New Roman" w:eastAsia="仿宋_GB2312"/>
                <w:bCs/>
                <w:color w:val="auto"/>
                <w:kern w:val="0"/>
                <w:szCs w:val="21"/>
              </w:rPr>
            </w:pPr>
            <w:r>
              <w:rPr>
                <w:rFonts w:hint="eastAsia" w:ascii="仿宋_GB2312" w:hAnsi="Times New Roman" w:eastAsia="仿宋_GB2312"/>
                <w:bCs/>
                <w:color w:val="auto"/>
                <w:kern w:val="0"/>
                <w:szCs w:val="21"/>
              </w:rPr>
              <w:t>/</w:t>
            </w:r>
          </w:p>
        </w:tc>
        <w:tc>
          <w:tcPr>
            <w:tcW w:w="2037" w:type="dxa"/>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仿宋_GB2312" w:hAnsi="Times New Roman" w:eastAsia="仿宋_GB2312"/>
                <w:bCs/>
                <w:color w:val="auto"/>
                <w:kern w:val="0"/>
                <w:szCs w:val="21"/>
              </w:rPr>
            </w:pPr>
            <w:r>
              <w:rPr>
                <w:rFonts w:hint="eastAsia" w:ascii="仿宋_GB2312" w:hAnsi="Times New Roman" w:eastAsia="仿宋_GB2312"/>
                <w:bCs/>
                <w:color w:val="auto"/>
                <w:kern w:val="0"/>
                <w:szCs w:val="21"/>
              </w:rPr>
              <w:t>１</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bCs/>
                <w:color w:val="auto"/>
                <w:kern w:val="0"/>
                <w:sz w:val="24"/>
                <w:lang w:eastAsia="zh-CN"/>
              </w:rPr>
            </w:pPr>
            <w:r>
              <w:rPr>
                <w:rFonts w:hint="eastAsia" w:ascii="仿宋_GB2312" w:hAnsi="Times New Roman" w:eastAsia="仿宋_GB2312"/>
                <w:bCs/>
                <w:color w:val="auto"/>
                <w:kern w:val="0"/>
                <w:sz w:val="24"/>
              </w:rPr>
              <w:t>2</w:t>
            </w:r>
            <w:r>
              <w:rPr>
                <w:rFonts w:hint="eastAsia" w:ascii="仿宋_GB2312" w:hAnsi="Times New Roman" w:eastAsia="仿宋_GB2312"/>
                <w:bCs/>
                <w:color w:val="auto"/>
                <w:kern w:val="0"/>
                <w:sz w:val="24"/>
                <w:lang w:eastAsia="zh-CN"/>
              </w:rPr>
              <w:t>２</w:t>
            </w:r>
          </w:p>
        </w:tc>
        <w:tc>
          <w:tcPr>
            <w:tcW w:w="479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民营经济增加值（亿元）</w:t>
            </w:r>
          </w:p>
        </w:tc>
        <w:tc>
          <w:tcPr>
            <w:tcW w:w="1417" w:type="dxa"/>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仿宋_GB2312" w:hAnsi="Times New Roman" w:eastAsia="仿宋_GB2312"/>
                <w:bCs/>
                <w:color w:val="auto"/>
                <w:kern w:val="0"/>
                <w:szCs w:val="21"/>
              </w:rPr>
            </w:pPr>
            <w:r>
              <w:rPr>
                <w:rFonts w:hint="eastAsia" w:ascii="仿宋_GB2312" w:hAnsi="Times New Roman" w:eastAsia="仿宋_GB2312"/>
                <w:bCs/>
                <w:color w:val="auto"/>
                <w:kern w:val="0"/>
                <w:szCs w:val="21"/>
                <w:lang w:val="en-US" w:eastAsia="zh-CN"/>
              </w:rPr>
              <w:t>1121.84</w:t>
            </w:r>
          </w:p>
        </w:tc>
        <w:tc>
          <w:tcPr>
            <w:tcW w:w="2037" w:type="dxa"/>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hint="default" w:ascii="仿宋_GB2312" w:hAnsi="Times New Roman" w:eastAsia="仿宋_GB2312"/>
                <w:bCs/>
                <w:color w:val="auto"/>
                <w:kern w:val="0"/>
                <w:szCs w:val="21"/>
                <w:lang w:val="en-US" w:eastAsia="zh-CN"/>
              </w:rPr>
            </w:pPr>
            <w:r>
              <w:rPr>
                <w:rFonts w:hint="eastAsia" w:ascii="仿宋_GB2312" w:hAnsi="Times New Roman" w:eastAsia="仿宋_GB2312"/>
                <w:bCs/>
                <w:color w:val="auto"/>
                <w:kern w:val="0"/>
                <w:szCs w:val="21"/>
                <w:lang w:val="en-US" w:eastAsia="zh-CN"/>
              </w:rPr>
              <w:t>1300.52</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bCs/>
                <w:color w:val="auto"/>
                <w:kern w:val="0"/>
                <w:sz w:val="24"/>
              </w:rPr>
            </w:pPr>
            <w:r>
              <w:rPr>
                <w:rFonts w:hint="eastAsia" w:ascii="仿宋_GB2312" w:hAnsi="Times New Roman" w:eastAsia="仿宋_GB2312"/>
                <w:bCs/>
                <w:color w:val="auto"/>
                <w:kern w:val="0"/>
                <w:sz w:val="24"/>
              </w:rPr>
              <w:t>预期性</w:t>
            </w:r>
          </w:p>
        </w:tc>
      </w:tr>
    </w:tbl>
    <w:p>
      <w:pPr>
        <w:pStyle w:val="17"/>
        <w:ind w:firstLine="643"/>
        <w:jc w:val="both"/>
        <w:rPr>
          <w:color w:val="auto"/>
          <w:lang w:bidi="ar"/>
        </w:rPr>
      </w:pPr>
    </w:p>
    <w:p>
      <w:pPr>
        <w:pStyle w:val="3"/>
        <w:rPr>
          <w:rFonts w:ascii="Times New Roman" w:hAnsi="Times New Roman" w:eastAsia="黑体" w:cs="Times New Roman"/>
          <w:snapToGrid w:val="0"/>
          <w:color w:val="auto"/>
          <w:kern w:val="0"/>
          <w:sz w:val="32"/>
          <w:szCs w:val="32"/>
        </w:rPr>
        <w:sectPr>
          <w:pgSz w:w="11906" w:h="16838"/>
          <w:pgMar w:top="1440" w:right="1440" w:bottom="1440" w:left="1440" w:header="851" w:footer="992" w:gutter="0"/>
          <w:pgNumType w:fmt="decimal" w:chapStyle="1" w:chapSep="emDash"/>
          <w:cols w:space="425" w:num="1"/>
          <w:docGrid w:type="lines" w:linePitch="312" w:charSpace="0"/>
        </w:sectPr>
      </w:pPr>
    </w:p>
    <w:p>
      <w:pPr>
        <w:pStyle w:val="3"/>
        <w:rPr>
          <w:rFonts w:ascii="Times New Roman" w:hAnsi="Times New Roman" w:eastAsia="黑体" w:cs="Times New Roman"/>
          <w:snapToGrid w:val="0"/>
          <w:color w:val="auto"/>
          <w:kern w:val="0"/>
          <w:sz w:val="32"/>
          <w:szCs w:val="32"/>
        </w:rPr>
      </w:pPr>
      <w:bookmarkStart w:id="14" w:name="_Toc77261182"/>
      <w:r>
        <w:rPr>
          <w:rFonts w:ascii="Times New Roman" w:hAnsi="Times New Roman" w:eastAsia="黑体" w:cs="Times New Roman"/>
          <w:snapToGrid w:val="0"/>
          <w:color w:val="auto"/>
          <w:kern w:val="0"/>
          <w:sz w:val="32"/>
          <w:szCs w:val="32"/>
        </w:rPr>
        <w:t>第</w:t>
      </w:r>
      <w:r>
        <w:rPr>
          <w:rFonts w:hint="eastAsia" w:ascii="Times New Roman" w:hAnsi="Times New Roman" w:eastAsia="黑体" w:cs="Times New Roman"/>
          <w:snapToGrid w:val="0"/>
          <w:color w:val="auto"/>
          <w:kern w:val="0"/>
          <w:sz w:val="32"/>
          <w:szCs w:val="32"/>
        </w:rPr>
        <w:t>三</w:t>
      </w:r>
      <w:r>
        <w:rPr>
          <w:rFonts w:ascii="Times New Roman" w:hAnsi="Times New Roman" w:eastAsia="黑体" w:cs="Times New Roman"/>
          <w:snapToGrid w:val="0"/>
          <w:color w:val="auto"/>
          <w:kern w:val="0"/>
          <w:sz w:val="32"/>
          <w:szCs w:val="32"/>
        </w:rPr>
        <w:t xml:space="preserve">章  </w:t>
      </w:r>
      <w:r>
        <w:rPr>
          <w:rFonts w:hint="eastAsia" w:ascii="Times New Roman" w:hAnsi="Times New Roman" w:eastAsia="黑体" w:cs="Times New Roman"/>
          <w:snapToGrid w:val="0"/>
          <w:color w:val="auto"/>
          <w:kern w:val="0"/>
          <w:sz w:val="32"/>
          <w:szCs w:val="32"/>
        </w:rPr>
        <w:t>重点任务</w:t>
      </w:r>
      <w:bookmarkEnd w:id="14"/>
    </w:p>
    <w:p>
      <w:pPr>
        <w:pStyle w:val="5"/>
        <w:ind w:firstLine="2907" w:firstLineChars="905"/>
        <w:rPr>
          <w:rFonts w:ascii="Times New Roman" w:hAnsi="Times New Roman" w:eastAsia="楷体_GB2312" w:cs="Times New Roman"/>
          <w:snapToGrid w:val="0"/>
          <w:color w:val="auto"/>
          <w:kern w:val="0"/>
        </w:rPr>
      </w:pPr>
      <w:bookmarkStart w:id="15" w:name="_Toc77261183"/>
      <w:r>
        <w:rPr>
          <w:rFonts w:ascii="Times New Roman" w:hAnsi="Times New Roman" w:eastAsia="楷体_GB2312" w:cs="Times New Roman"/>
          <w:snapToGrid w:val="0"/>
          <w:color w:val="auto"/>
          <w:kern w:val="0"/>
        </w:rPr>
        <w:t xml:space="preserve">第一节 </w:t>
      </w:r>
      <w:r>
        <w:rPr>
          <w:rFonts w:hint="eastAsia" w:ascii="Times New Roman" w:hAnsi="Times New Roman" w:eastAsia="楷体_GB2312" w:cs="Times New Roman"/>
          <w:snapToGrid w:val="0"/>
          <w:color w:val="auto"/>
          <w:kern w:val="0"/>
        </w:rPr>
        <w:t>营商环境改善工程</w:t>
      </w:r>
      <w:bookmarkEnd w:id="15"/>
    </w:p>
    <w:p>
      <w:pPr>
        <w:pStyle w:val="36"/>
        <w:ind w:firstLine="640"/>
        <w:rPr>
          <w:rFonts w:ascii="仿宋_GB2312" w:eastAsia="仿宋_GB2312"/>
          <w:snapToGrid w:val="0"/>
          <w:color w:val="auto"/>
          <w:lang w:bidi="ar"/>
        </w:rPr>
      </w:pPr>
      <w:r>
        <w:rPr>
          <w:rFonts w:hint="eastAsia" w:ascii="仿宋_GB2312" w:eastAsia="仿宋_GB2312"/>
          <w:snapToGrid w:val="0"/>
          <w:color w:val="auto"/>
          <w:lang w:bidi="ar"/>
        </w:rPr>
        <w:t>坚持以市场主体发展为导向，加快“放管服”和商事制度改革，优化政务服务，加大制度创新，进一步畅通市场准入激发市场活力，构建更加良好具有乐山特色的营商环境。</w:t>
      </w:r>
    </w:p>
    <w:p>
      <w:pPr>
        <w:pStyle w:val="36"/>
        <w:jc w:val="both"/>
        <w:outlineLvl w:val="2"/>
        <w:rPr>
          <w:rFonts w:hint="eastAsia" w:ascii="黑体" w:hAnsi="黑体" w:eastAsia="黑体" w:cs="黑体"/>
          <w:b w:val="0"/>
          <w:bCs w:val="0"/>
          <w:snapToGrid w:val="0"/>
          <w:color w:val="auto"/>
          <w:lang w:bidi="ar"/>
        </w:rPr>
      </w:pPr>
      <w:bookmarkStart w:id="16" w:name="_Toc77261184"/>
      <w:r>
        <w:rPr>
          <w:rFonts w:hint="eastAsia" w:ascii="黑体" w:hAnsi="黑体" w:eastAsia="黑体" w:cs="黑体"/>
          <w:b w:val="0"/>
          <w:bCs w:val="0"/>
          <w:snapToGrid w:val="0"/>
          <w:color w:val="auto"/>
          <w:lang w:eastAsia="zh-CN" w:bidi="ar"/>
        </w:rPr>
        <w:t>一、</w:t>
      </w:r>
      <w:r>
        <w:rPr>
          <w:rFonts w:hint="eastAsia" w:ascii="黑体" w:hAnsi="黑体" w:eastAsia="黑体" w:cs="黑体"/>
          <w:b w:val="0"/>
          <w:bCs w:val="0"/>
          <w:snapToGrid w:val="0"/>
          <w:color w:val="auto"/>
          <w:lang w:bidi="ar"/>
        </w:rPr>
        <w:t>深化商事制度改革</w:t>
      </w:r>
      <w:bookmarkEnd w:id="16"/>
    </w:p>
    <w:p>
      <w:pPr>
        <w:pStyle w:val="36"/>
        <w:ind w:firstLine="640"/>
        <w:jc w:val="both"/>
        <w:rPr>
          <w:rFonts w:hint="eastAsia" w:ascii="仿宋_GB2312" w:eastAsia="仿宋_GB2312"/>
          <w:snapToGrid w:val="0"/>
          <w:color w:val="auto"/>
          <w:lang w:bidi="ar"/>
        </w:rPr>
      </w:pPr>
      <w:r>
        <w:rPr>
          <w:rFonts w:hint="eastAsia" w:ascii="仿宋_GB2312" w:eastAsia="仿宋_GB2312"/>
          <w:snapToGrid w:val="0"/>
          <w:color w:val="auto"/>
          <w:lang w:bidi="ar"/>
        </w:rPr>
        <w:t>推广商事登记确认制改革，最大程度降低市场准入门槛。持续推进“证照分离”改革，在全市范围内逐步对所有涉企经营许可事项实现全覆盖。推行涉企经营许可告知承诺制。优化名称登记管理。全面落实行政许可标准化，在许可事项、流程、服务、受理场所和监督检查评价方面实行标准化管理。优化数字经济领域市场准入，推进数字经济市场主体登记注册便利化，有序放宽融合性产品和服务准入限制。</w:t>
      </w:r>
      <w:bookmarkStart w:id="17" w:name="_Toc77261185"/>
    </w:p>
    <w:p>
      <w:pPr>
        <w:pStyle w:val="36"/>
        <w:ind w:firstLine="640"/>
        <w:jc w:val="both"/>
        <w:rPr>
          <w:rFonts w:hint="eastAsia" w:ascii="黑体" w:hAnsi="黑体" w:eastAsia="黑体" w:cs="黑体"/>
          <w:b w:val="0"/>
          <w:bCs w:val="0"/>
          <w:snapToGrid w:val="0"/>
          <w:color w:val="auto"/>
          <w:sz w:val="32"/>
          <w:szCs w:val="32"/>
          <w:lang w:bidi="ar"/>
        </w:rPr>
      </w:pPr>
      <w:r>
        <w:rPr>
          <w:rFonts w:hint="eastAsia" w:ascii="黑体" w:hAnsi="黑体" w:eastAsia="黑体" w:cs="黑体"/>
          <w:b w:val="0"/>
          <w:bCs w:val="0"/>
          <w:snapToGrid w:val="0"/>
          <w:color w:val="auto"/>
          <w:sz w:val="32"/>
          <w:szCs w:val="32"/>
          <w:lang w:eastAsia="zh-CN" w:bidi="ar"/>
        </w:rPr>
        <w:t>二、</w:t>
      </w:r>
      <w:r>
        <w:rPr>
          <w:rFonts w:hint="eastAsia" w:ascii="黑体" w:hAnsi="黑体" w:eastAsia="黑体" w:cs="黑体"/>
          <w:b w:val="0"/>
          <w:bCs w:val="0"/>
          <w:snapToGrid w:val="0"/>
          <w:color w:val="auto"/>
          <w:sz w:val="32"/>
          <w:szCs w:val="32"/>
          <w:lang w:bidi="ar"/>
        </w:rPr>
        <w:t>深化市场准入高效服务改革</w:t>
      </w:r>
      <w:bookmarkEnd w:id="17"/>
    </w:p>
    <w:p>
      <w:pPr>
        <w:pStyle w:val="17"/>
        <w:widowControl w:val="0"/>
        <w:adjustRightInd w:val="0"/>
        <w:snapToGrid w:val="0"/>
        <w:spacing w:after="0" w:line="580" w:lineRule="exact"/>
        <w:ind w:left="0" w:firstLine="640" w:firstLineChars="200"/>
        <w:jc w:val="both"/>
        <w:outlineLvl w:val="2"/>
        <w:rPr>
          <w:rFonts w:ascii="仿宋_GB2312" w:hAnsi="仿宋" w:eastAsia="仿宋_GB2312" w:cs="宋体"/>
          <w:snapToGrid w:val="0"/>
          <w:color w:val="auto"/>
          <w:sz w:val="32"/>
          <w:szCs w:val="32"/>
          <w:lang w:bidi="ar"/>
        </w:rPr>
      </w:pPr>
      <w:bookmarkStart w:id="18" w:name="_Toc77260918"/>
      <w:bookmarkStart w:id="19" w:name="_Toc77261186"/>
      <w:r>
        <w:rPr>
          <w:rFonts w:hint="eastAsia" w:ascii="仿宋_GB2312" w:hAnsi="仿宋" w:eastAsia="仿宋_GB2312" w:cs="宋体"/>
          <w:snapToGrid w:val="0"/>
          <w:color w:val="auto"/>
          <w:sz w:val="32"/>
          <w:szCs w:val="32"/>
          <w:lang w:bidi="ar"/>
        </w:rPr>
        <w:t>充分利用信息化平台，进一步完善“营商通”功能改造和运行效率建设，广泛宣传“营商通”平台应用，推动实现企业开办“零费用”和</w:t>
      </w:r>
      <w:r>
        <w:rPr>
          <w:rFonts w:hint="eastAsia" w:ascii="仿宋_GB2312" w:hAnsi="仿宋" w:eastAsia="仿宋_GB2312" w:cs="宋体"/>
          <w:snapToGrid w:val="0"/>
          <w:color w:val="auto"/>
          <w:sz w:val="32"/>
          <w:szCs w:val="32"/>
          <w:lang w:eastAsia="zh-CN" w:bidi="ar"/>
        </w:rPr>
        <w:t>１</w:t>
      </w:r>
      <w:r>
        <w:rPr>
          <w:rFonts w:hint="eastAsia" w:ascii="仿宋_GB2312" w:hAnsi="仿宋" w:eastAsia="仿宋_GB2312" w:cs="宋体"/>
          <w:snapToGrid w:val="0"/>
          <w:color w:val="auto"/>
          <w:sz w:val="32"/>
          <w:szCs w:val="32"/>
          <w:lang w:bidi="ar"/>
        </w:rPr>
        <w:t>日</w:t>
      </w:r>
      <w:r>
        <w:rPr>
          <w:rFonts w:hint="eastAsia" w:ascii="仿宋_GB2312" w:hAnsi="仿宋" w:eastAsia="仿宋_GB2312" w:cs="宋体"/>
          <w:snapToGrid w:val="0"/>
          <w:color w:val="auto"/>
          <w:sz w:val="32"/>
          <w:szCs w:val="32"/>
          <w:lang w:eastAsia="zh-CN" w:bidi="ar"/>
        </w:rPr>
        <w:t>办</w:t>
      </w:r>
      <w:r>
        <w:rPr>
          <w:rFonts w:hint="eastAsia" w:ascii="仿宋_GB2312" w:hAnsi="仿宋" w:eastAsia="仿宋_GB2312" w:cs="宋体"/>
          <w:snapToGrid w:val="0"/>
          <w:color w:val="auto"/>
          <w:sz w:val="32"/>
          <w:szCs w:val="32"/>
          <w:lang w:bidi="ar"/>
        </w:rPr>
        <w:t>结，提升市场服务质量和效率。推广应用电子营业执照、电子许可证件、电子合同、电子签章，助推市场加快进入“云经营”时代。借助市场监管领域“一网通办”工作平台“最多跑一次”改革，实现申请、受理、审查、决定、制证等环节全流程在线办理。</w:t>
      </w:r>
      <w:bookmarkEnd w:id="18"/>
      <w:bookmarkEnd w:id="19"/>
    </w:p>
    <w:p>
      <w:pPr>
        <w:rPr>
          <w:color w:val="auto"/>
          <w:lang w:bidi="ar"/>
        </w:rPr>
      </w:pPr>
    </w:p>
    <w:tbl>
      <w:tblPr>
        <w:tblStyle w:val="2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061" w:type="dxa"/>
          </w:tcPr>
          <w:p>
            <w:pPr>
              <w:pStyle w:val="17"/>
              <w:ind w:firstLine="1120" w:firstLineChars="400"/>
              <w:jc w:val="both"/>
              <w:rPr>
                <w:color w:val="auto"/>
                <w:sz w:val="28"/>
                <w:szCs w:val="28"/>
              </w:rPr>
            </w:pPr>
            <w:r>
              <w:rPr>
                <w:rFonts w:eastAsia="黑体"/>
                <w:color w:val="auto"/>
                <w:sz w:val="28"/>
                <w:szCs w:val="28"/>
              </w:rPr>
              <w:t>专栏1：深化</w:t>
            </w:r>
            <w:r>
              <w:rPr>
                <w:rFonts w:hint="eastAsia" w:eastAsia="黑体"/>
                <w:color w:val="auto"/>
                <w:sz w:val="28"/>
                <w:szCs w:val="28"/>
              </w:rPr>
              <w:t>市场准入</w:t>
            </w:r>
            <w:r>
              <w:rPr>
                <w:rFonts w:eastAsia="黑体"/>
                <w:color w:val="auto"/>
                <w:sz w:val="28"/>
                <w:szCs w:val="28"/>
              </w:rPr>
              <w:t>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61" w:type="dxa"/>
          </w:tcPr>
          <w:p>
            <w:pPr>
              <w:pStyle w:val="8"/>
              <w:tabs>
                <w:tab w:val="left" w:pos="562"/>
                <w:tab w:val="left" w:pos="3372"/>
                <w:tab w:val="left" w:pos="3653"/>
              </w:tabs>
              <w:adjustRightInd w:val="0"/>
              <w:snapToGrid w:val="0"/>
              <w:spacing w:line="500" w:lineRule="exact"/>
              <w:ind w:firstLine="562" w:firstLineChars="200"/>
              <w:rPr>
                <w:rFonts w:ascii="Times New Roman" w:hAnsi="Times New Roman" w:eastAsia="仿宋_GB2312"/>
                <w:snapToGrid w:val="0"/>
                <w:color w:val="auto"/>
                <w:kern w:val="0"/>
                <w:sz w:val="28"/>
                <w:szCs w:val="28"/>
                <w:lang w:bidi="ar"/>
              </w:rPr>
            </w:pPr>
            <w:r>
              <w:rPr>
                <w:rFonts w:hint="eastAsia" w:ascii="Times New Roman" w:hAnsi="Times New Roman" w:eastAsia="仿宋_GB2312"/>
                <w:b/>
                <w:bCs/>
                <w:snapToGrid w:val="0"/>
                <w:color w:val="auto"/>
                <w:kern w:val="0"/>
                <w:sz w:val="28"/>
                <w:szCs w:val="28"/>
                <w:lang w:bidi="ar"/>
              </w:rPr>
              <w:t>1.开展审批服务改革。</w:t>
            </w:r>
            <w:r>
              <w:rPr>
                <w:rFonts w:hint="eastAsia" w:ascii="Times New Roman" w:hAnsi="Times New Roman" w:eastAsia="仿宋_GB2312"/>
                <w:snapToGrid w:val="0"/>
                <w:color w:val="auto"/>
                <w:kern w:val="0"/>
                <w:sz w:val="28"/>
                <w:szCs w:val="28"/>
                <w:lang w:bidi="ar"/>
              </w:rPr>
              <w:t>企业申请材料实现当场办结的许可业务和营业执照在1个工作日完结；对不能当场办结的业务，按照压缩审批时限50%的目标办理。</w:t>
            </w:r>
          </w:p>
          <w:p>
            <w:pPr>
              <w:pStyle w:val="17"/>
              <w:adjustRightInd w:val="0"/>
              <w:snapToGrid w:val="0"/>
              <w:spacing w:line="500" w:lineRule="exact"/>
              <w:ind w:left="0" w:firstLine="562" w:firstLineChars="200"/>
              <w:jc w:val="both"/>
              <w:rPr>
                <w:rFonts w:ascii="Times New Roman" w:hAnsi="Times New Roman" w:eastAsia="仿宋_GB2312"/>
                <w:snapToGrid w:val="0"/>
                <w:color w:val="auto"/>
                <w:sz w:val="28"/>
                <w:szCs w:val="28"/>
                <w:lang w:bidi="ar"/>
              </w:rPr>
            </w:pPr>
            <w:r>
              <w:rPr>
                <w:rFonts w:hint="eastAsia" w:ascii="Times New Roman" w:hAnsi="Times New Roman" w:eastAsia="仿宋_GB2312"/>
                <w:b/>
                <w:bCs/>
                <w:snapToGrid w:val="0"/>
                <w:color w:val="auto"/>
                <w:sz w:val="28"/>
                <w:szCs w:val="28"/>
                <w:lang w:bidi="ar"/>
              </w:rPr>
              <w:t>2.实施企业信息化办理。</w:t>
            </w:r>
            <w:r>
              <w:rPr>
                <w:rFonts w:hint="eastAsia" w:ascii="Times New Roman" w:hAnsi="Times New Roman" w:eastAsia="仿宋_GB2312"/>
                <w:snapToGrid w:val="0"/>
                <w:color w:val="auto"/>
                <w:sz w:val="28"/>
                <w:szCs w:val="28"/>
                <w:lang w:bidi="ar"/>
              </w:rPr>
              <w:t>精简优化审批事项和条件，实行企业开办全流程“一表申请、一网通办、一窗通取、一天办结”，逐步实现企业开办“零成本”。全面优化“营商通”平台，拓展电子签名、电子证照应用等服务。</w:t>
            </w:r>
          </w:p>
          <w:p>
            <w:pPr>
              <w:ind w:firstLine="562"/>
              <w:rPr>
                <w:rFonts w:eastAsia="仿宋_GB2312"/>
                <w:color w:val="auto"/>
                <w:sz w:val="20"/>
              </w:rPr>
            </w:pPr>
            <w:r>
              <w:rPr>
                <w:rFonts w:hint="eastAsia" w:ascii="Times New Roman" w:hAnsi="Times New Roman" w:eastAsia="仿宋_GB2312" w:cs="Times New Roman"/>
                <w:b/>
                <w:bCs/>
                <w:snapToGrid w:val="0"/>
                <w:color w:val="auto"/>
                <w:kern w:val="0"/>
                <w:sz w:val="28"/>
                <w:szCs w:val="28"/>
                <w:lang w:bidi="ar"/>
              </w:rPr>
              <w:t>3.探索“异地同标”服务。</w:t>
            </w:r>
            <w:r>
              <w:rPr>
                <w:rFonts w:hint="eastAsia" w:ascii="Times New Roman" w:hAnsi="Times New Roman" w:eastAsia="仿宋_GB2312" w:cs="Times New Roman"/>
                <w:snapToGrid w:val="0"/>
                <w:color w:val="auto"/>
                <w:kern w:val="0"/>
                <w:sz w:val="28"/>
                <w:szCs w:val="28"/>
                <w:lang w:bidi="ar"/>
              </w:rPr>
              <w:t>立足成渝双城经济圈，建立川渝市场准入“异地同标”服务机制，实现准入“互办互发”。全面实现企业名称自主申报和企业登记线上线下实名认证。进一步试点简易注销登记，公告时间由45天压缩为20天。</w:t>
            </w:r>
          </w:p>
        </w:tc>
      </w:tr>
    </w:tbl>
    <w:p>
      <w:pPr>
        <w:pStyle w:val="36"/>
        <w:jc w:val="both"/>
        <w:outlineLvl w:val="2"/>
        <w:rPr>
          <w:rFonts w:ascii="仿宋_GB2312" w:hAnsi="黑体" w:eastAsia="仿宋_GB2312" w:cs="黑体"/>
          <w:b/>
          <w:bCs/>
          <w:snapToGrid w:val="0"/>
          <w:color w:val="auto"/>
          <w:lang w:bidi="ar"/>
        </w:rPr>
      </w:pPr>
      <w:bookmarkStart w:id="20" w:name="_Toc77261187"/>
      <w:bookmarkStart w:id="21" w:name="_Toc2496"/>
      <w:bookmarkStart w:id="22" w:name="_Toc863"/>
      <w:r>
        <w:rPr>
          <w:rFonts w:hint="eastAsia" w:ascii="黑体" w:hAnsi="黑体" w:eastAsia="黑体" w:cs="黑体"/>
          <w:b w:val="0"/>
          <w:bCs w:val="0"/>
          <w:snapToGrid w:val="0"/>
          <w:color w:val="auto"/>
          <w:lang w:eastAsia="zh-CN" w:bidi="ar"/>
        </w:rPr>
        <w:t>三、</w:t>
      </w:r>
      <w:r>
        <w:rPr>
          <w:rFonts w:hint="eastAsia" w:ascii="黑体" w:hAnsi="黑体" w:eastAsia="黑体" w:cs="黑体"/>
          <w:b w:val="0"/>
          <w:bCs w:val="0"/>
          <w:snapToGrid w:val="0"/>
          <w:color w:val="auto"/>
          <w:lang w:bidi="ar"/>
        </w:rPr>
        <w:t>实施</w:t>
      </w:r>
      <w:r>
        <w:rPr>
          <w:rFonts w:hint="eastAsia" w:ascii="黑体" w:hAnsi="黑体" w:eastAsia="黑体" w:cs="黑体"/>
          <w:b w:val="0"/>
          <w:bCs w:val="0"/>
          <w:color w:val="auto"/>
        </w:rPr>
        <w:fldChar w:fldCharType="begin"/>
      </w:r>
      <w:r>
        <w:rPr>
          <w:rFonts w:hint="eastAsia" w:ascii="黑体" w:hAnsi="黑体" w:eastAsia="黑体" w:cs="黑体"/>
          <w:b w:val="0"/>
          <w:bCs w:val="0"/>
          <w:color w:val="auto"/>
        </w:rPr>
        <w:instrText xml:space="preserve"> HYPERLINK \l "_Toc10439" </w:instrText>
      </w:r>
      <w:r>
        <w:rPr>
          <w:rFonts w:hint="eastAsia" w:ascii="黑体" w:hAnsi="黑体" w:eastAsia="黑体" w:cs="黑体"/>
          <w:b w:val="0"/>
          <w:bCs w:val="0"/>
          <w:color w:val="auto"/>
        </w:rPr>
        <w:fldChar w:fldCharType="separate"/>
      </w:r>
      <w:r>
        <w:rPr>
          <w:rFonts w:hint="eastAsia" w:ascii="黑体" w:hAnsi="黑体" w:eastAsia="黑体" w:cs="黑体"/>
          <w:b w:val="0"/>
          <w:bCs w:val="0"/>
          <w:snapToGrid w:val="0"/>
          <w:color w:val="auto"/>
          <w:lang w:bidi="ar"/>
        </w:rPr>
        <w:t>企业退出高效有序改革</w:t>
      </w:r>
      <w:bookmarkEnd w:id="20"/>
      <w:r>
        <w:rPr>
          <w:rFonts w:hint="eastAsia" w:ascii="黑体" w:hAnsi="黑体" w:eastAsia="黑体" w:cs="黑体"/>
          <w:b w:val="0"/>
          <w:bCs w:val="0"/>
          <w:snapToGrid w:val="0"/>
          <w:color w:val="auto"/>
          <w:lang w:bidi="ar"/>
        </w:rPr>
        <w:fldChar w:fldCharType="end"/>
      </w:r>
      <w:bookmarkEnd w:id="21"/>
      <w:bookmarkEnd w:id="22"/>
      <w:r>
        <w:rPr>
          <w:rFonts w:hint="eastAsia" w:ascii="仿宋_GB2312" w:hAnsi="黑体" w:eastAsia="仿宋_GB2312" w:cs="黑体"/>
          <w:b/>
          <w:bCs/>
          <w:snapToGrid w:val="0"/>
          <w:color w:val="auto"/>
          <w:lang w:bidi="ar"/>
        </w:rPr>
        <w:t xml:space="preserve"> </w:t>
      </w:r>
    </w:p>
    <w:p>
      <w:pPr>
        <w:pStyle w:val="36"/>
        <w:widowControl w:val="0"/>
        <w:ind w:firstLine="640"/>
        <w:jc w:val="both"/>
        <w:rPr>
          <w:rFonts w:ascii="仿宋_GB2312" w:eastAsia="仿宋_GB2312"/>
          <w:snapToGrid w:val="0"/>
          <w:color w:val="auto"/>
          <w:lang w:bidi="ar"/>
        </w:rPr>
      </w:pPr>
      <w:r>
        <w:rPr>
          <w:rFonts w:hint="eastAsia" w:ascii="仿宋_GB2312" w:eastAsia="仿宋_GB2312"/>
          <w:snapToGrid w:val="0"/>
          <w:color w:val="auto"/>
          <w:lang w:bidi="ar"/>
        </w:rPr>
        <w:t>推进市场主体退出制度改革，落实企业注销主体责任、简化企业注销程序和材料，畅通企业主动退出渠道。深化简易注销登记改革，完善企业注销网上服务平台，实现企业注销登记“零见面”。优化注销办理流程，实施推广套餐式注销，实现营业执照与有关许可证同步注销。进一步压减简易注销公告时间。建立健全简易注销容错机制，规范企业吊销条件、简化调查取证程序，推动失联、“僵尸”企业吊销出清，确保市场退出高效有序。</w:t>
      </w:r>
    </w:p>
    <w:p>
      <w:pPr>
        <w:pStyle w:val="36"/>
        <w:jc w:val="both"/>
        <w:outlineLvl w:val="2"/>
        <w:rPr>
          <w:rFonts w:hint="eastAsia" w:ascii="黑体" w:hAnsi="黑体" w:eastAsia="黑体" w:cs="黑体"/>
          <w:b w:val="0"/>
          <w:bCs w:val="0"/>
          <w:snapToGrid w:val="0"/>
          <w:color w:val="auto"/>
          <w:lang w:bidi="ar"/>
        </w:rPr>
      </w:pPr>
      <w:bookmarkStart w:id="23" w:name="_Toc77261188"/>
      <w:r>
        <w:rPr>
          <w:rFonts w:hint="eastAsia" w:ascii="黑体" w:hAnsi="黑体" w:eastAsia="黑体" w:cs="黑体"/>
          <w:b w:val="0"/>
          <w:bCs w:val="0"/>
          <w:snapToGrid w:val="0"/>
          <w:color w:val="auto"/>
          <w:lang w:eastAsia="zh-CN" w:bidi="ar"/>
        </w:rPr>
        <w:t>四、</w:t>
      </w:r>
      <w:r>
        <w:rPr>
          <w:rFonts w:hint="eastAsia" w:ascii="黑体" w:hAnsi="黑体" w:eastAsia="黑体" w:cs="黑体"/>
          <w:b w:val="0"/>
          <w:bCs w:val="0"/>
          <w:snapToGrid w:val="0"/>
          <w:color w:val="auto"/>
          <w:lang w:bidi="ar"/>
        </w:rPr>
        <w:t>实施市场主体高质量发展改革</w:t>
      </w:r>
      <w:bookmarkEnd w:id="23"/>
    </w:p>
    <w:p>
      <w:pPr>
        <w:pStyle w:val="36"/>
        <w:widowControl w:val="0"/>
        <w:ind w:firstLine="640"/>
        <w:jc w:val="both"/>
        <w:rPr>
          <w:rFonts w:hint="default" w:ascii="仿宋_GB2312" w:eastAsia="仿宋_GB2312"/>
          <w:snapToGrid w:val="0"/>
          <w:color w:val="auto"/>
          <w:lang w:val="en-US" w:eastAsia="zh-CN" w:bidi="ar"/>
        </w:rPr>
      </w:pPr>
      <w:r>
        <w:rPr>
          <w:rFonts w:hint="eastAsia" w:ascii="仿宋_GB2312" w:eastAsia="仿宋_GB2312"/>
          <w:snapToGrid w:val="0"/>
          <w:color w:val="auto"/>
          <w:lang w:bidi="ar"/>
        </w:rPr>
        <w:t>坚持数量与质量双提升为指导，在保持市场主体稳步提升的同时，注重产业结构优化和调整，结合乐山实际，不断做好市场主体增量和优化产业结构工作，切实做到大规模、有质量和高品质的乐山市场主体形象。紧密围绕乐山产业发展结构导向，发展总部经济，积极引导国内外先进高附加值企业等落户我市，大力支持我市拥有自主知识产权企业加快发展，打造更多“乐山品牌”。充分利用和发掘我市旅游资源丰富、工业基础扎实等优势，探索新的市场主体形式，推动新兴产业集群发展，做好市场引导，做好市场主体服务，稳步推进个体工商户</w:t>
      </w:r>
      <w:r>
        <w:rPr>
          <w:rFonts w:hint="eastAsia" w:ascii="仿宋_GB2312" w:eastAsia="仿宋_GB2312"/>
          <w:snapToGrid w:val="0"/>
          <w:color w:val="auto"/>
          <w:lang w:eastAsia="zh-CN" w:bidi="ar"/>
        </w:rPr>
        <w:t>升级为</w:t>
      </w:r>
      <w:r>
        <w:rPr>
          <w:rFonts w:hint="eastAsia" w:ascii="仿宋_GB2312" w:eastAsia="仿宋_GB2312"/>
          <w:snapToGrid w:val="0"/>
          <w:color w:val="auto"/>
          <w:lang w:bidi="ar"/>
        </w:rPr>
        <w:t>企业，推动个体工商户、小微企业上规模、上水平，打造高质量的市场主体。</w:t>
      </w:r>
    </w:p>
    <w:p>
      <w:pPr>
        <w:pStyle w:val="36"/>
        <w:jc w:val="both"/>
        <w:outlineLvl w:val="2"/>
        <w:rPr>
          <w:rFonts w:hint="eastAsia" w:ascii="黑体" w:hAnsi="黑体" w:eastAsia="黑体" w:cs="黑体"/>
          <w:b w:val="0"/>
          <w:bCs w:val="0"/>
          <w:snapToGrid w:val="0"/>
          <w:color w:val="auto"/>
          <w:lang w:bidi="ar"/>
        </w:rPr>
      </w:pPr>
      <w:bookmarkStart w:id="24" w:name="_Toc77261189"/>
      <w:bookmarkStart w:id="25" w:name="_Toc75794342"/>
      <w:bookmarkStart w:id="26" w:name="_Toc75794442"/>
      <w:r>
        <w:rPr>
          <w:rFonts w:hint="eastAsia" w:ascii="黑体" w:hAnsi="黑体" w:eastAsia="黑体" w:cs="黑体"/>
          <w:b w:val="0"/>
          <w:bCs w:val="0"/>
          <w:snapToGrid w:val="0"/>
          <w:color w:val="auto"/>
          <w:lang w:eastAsia="zh-CN" w:bidi="ar"/>
        </w:rPr>
        <w:t>五、</w:t>
      </w:r>
      <w:r>
        <w:rPr>
          <w:rFonts w:hint="eastAsia" w:ascii="黑体" w:hAnsi="黑体" w:eastAsia="黑体" w:cs="黑体"/>
          <w:b w:val="0"/>
          <w:bCs w:val="0"/>
          <w:snapToGrid w:val="0"/>
          <w:color w:val="auto"/>
          <w:lang w:bidi="ar"/>
        </w:rPr>
        <w:t>强化竞争秩序维护</w:t>
      </w:r>
      <w:bookmarkEnd w:id="24"/>
    </w:p>
    <w:p>
      <w:pPr>
        <w:pStyle w:val="36"/>
        <w:widowControl w:val="0"/>
        <w:ind w:firstLine="640"/>
        <w:jc w:val="both"/>
        <w:rPr>
          <w:rFonts w:hint="eastAsia" w:ascii="仿宋_GB2312" w:eastAsia="仿宋_GB2312"/>
          <w:snapToGrid w:val="0"/>
          <w:color w:val="auto"/>
          <w:lang w:bidi="ar"/>
        </w:rPr>
      </w:pPr>
      <w:r>
        <w:rPr>
          <w:rFonts w:hint="eastAsia" w:ascii="仿宋_GB2312" w:hAnsi="宋体" w:eastAsia="仿宋_GB2312"/>
          <w:color w:val="auto"/>
        </w:rPr>
        <w:t>建立健全公平竞争制度，构建覆盖事前、事中、事后全环节的竞争政策实施机制。</w:t>
      </w:r>
      <w:r>
        <w:rPr>
          <w:rFonts w:hint="eastAsia" w:ascii="仿宋_GB2312" w:eastAsia="仿宋_GB2312"/>
          <w:snapToGrid w:val="0"/>
          <w:color w:val="auto"/>
          <w:lang w:bidi="ar"/>
        </w:rPr>
        <w:t>探索推进市场竞争状况评估，探索建立第三方评估机制，将评估结果作为拟定经济政策的重要参考。探索开展竞争政策环境评价和满意度调查。全面落实公平竞争审查制度，将公平竞争审查纳入依法行政、法治政府建设等考核评价体系。健全动态清理长效机制，按照“谁起草、谁审查”原则把好增量政策措施文件审查关，及时废除妨碍统一市场和公平竞争的政策措施。探索建立川渝公平竞争审查协作机制。</w:t>
      </w:r>
      <w:r>
        <w:rPr>
          <w:rFonts w:hint="eastAsia" w:ascii="仿宋_GB2312" w:eastAsia="仿宋_GB2312" w:cs="Times New Roman"/>
          <w:snapToGrid w:val="0"/>
          <w:color w:val="auto"/>
          <w:lang w:bidi="ar"/>
        </w:rPr>
        <w:t>加强反不正当竞争执法，</w:t>
      </w:r>
      <w:r>
        <w:rPr>
          <w:rFonts w:hint="eastAsia" w:ascii="仿宋_GB2312" w:eastAsia="仿宋_GB2312"/>
          <w:snapToGrid w:val="0"/>
          <w:color w:val="auto"/>
          <w:lang w:bidi="ar"/>
        </w:rPr>
        <w:t>综合运用行政处罚、中止调查、适用例外等法律制度规范竞争行为，增强大数据等信息化方式认定竞争违法行为能力。加强对商业混淆、虚假宣传等误导消费问题的监督，及时查处侵权仿冒、商业贿赂、违法有奖销售等不正当竞争案件。加强平台经济、共享经济等新业态领域不正当竞争规制，促进健康发展。</w:t>
      </w:r>
      <w:r>
        <w:rPr>
          <w:rFonts w:hint="eastAsia" w:ascii="仿宋_GB2312" w:hAnsi="仿宋_GB2312" w:eastAsia="仿宋_GB2312" w:cs="仿宋_GB2312"/>
          <w:color w:val="auto"/>
          <w:sz w:val="32"/>
          <w:szCs w:val="32"/>
          <w:lang w:val="en-US" w:eastAsia="zh-CN"/>
        </w:rPr>
        <w:t>推进商业秘密保护</w:t>
      </w:r>
      <w:r>
        <w:rPr>
          <w:rFonts w:hint="eastAsia" w:ascii="仿宋_GB2312" w:eastAsia="仿宋_GB2312"/>
          <w:snapToGrid w:val="0"/>
          <w:color w:val="auto"/>
          <w:lang w:bidi="ar"/>
        </w:rPr>
        <w:t>，开展商业秘密保护基地建设，切实维护企业正当的市场竞争利益和竞争优势。</w:t>
      </w:r>
      <w:bookmarkStart w:id="27" w:name="_Toc77261190"/>
    </w:p>
    <w:p>
      <w:pPr>
        <w:pStyle w:val="36"/>
        <w:widowControl w:val="0"/>
        <w:ind w:firstLine="640"/>
        <w:jc w:val="both"/>
        <w:rPr>
          <w:rFonts w:hint="eastAsia" w:ascii="黑体" w:hAnsi="黑体" w:eastAsia="黑体" w:cs="黑体"/>
          <w:b w:val="0"/>
          <w:bCs w:val="0"/>
          <w:snapToGrid w:val="0"/>
          <w:color w:val="auto"/>
          <w:lang w:bidi="ar"/>
        </w:rPr>
      </w:pPr>
      <w:r>
        <w:rPr>
          <w:rFonts w:hint="eastAsia" w:ascii="黑体" w:hAnsi="黑体" w:eastAsia="黑体" w:cs="黑体"/>
          <w:b w:val="0"/>
          <w:bCs w:val="0"/>
          <w:snapToGrid w:val="0"/>
          <w:color w:val="auto"/>
          <w:lang w:eastAsia="zh-CN" w:bidi="ar"/>
        </w:rPr>
        <w:t>六、</w:t>
      </w:r>
      <w:r>
        <w:rPr>
          <w:rFonts w:hint="eastAsia" w:ascii="黑体" w:hAnsi="黑体" w:eastAsia="黑体" w:cs="黑体"/>
          <w:b w:val="0"/>
          <w:bCs w:val="0"/>
          <w:snapToGrid w:val="0"/>
          <w:color w:val="auto"/>
          <w:lang w:bidi="ar"/>
        </w:rPr>
        <w:t>服务民营经济健康发展</w:t>
      </w:r>
      <w:bookmarkEnd w:id="27"/>
    </w:p>
    <w:bookmarkEnd w:id="25"/>
    <w:bookmarkEnd w:id="26"/>
    <w:p>
      <w:pPr>
        <w:pStyle w:val="36"/>
        <w:ind w:firstLine="640"/>
        <w:jc w:val="both"/>
        <w:rPr>
          <w:b/>
          <w:bCs/>
          <w:snapToGrid w:val="0"/>
          <w:color w:val="auto"/>
        </w:rPr>
      </w:pPr>
      <w:r>
        <w:rPr>
          <w:rFonts w:hint="eastAsia" w:ascii="仿宋_GB2312" w:eastAsia="仿宋_GB2312"/>
          <w:snapToGrid w:val="0"/>
          <w:color w:val="auto"/>
        </w:rPr>
        <w:t>完善民营经济指标监测体系，强化问题督察考核。健全各级领导干部联系商（协）会制度。持续推进条件成熟的企业建立现代企业制度，完善法人治理结构，引导民营企业健全经营决策、财务管理、内部控制等制度，提高规范运营水平。协助完善小微企业名录库，深入做好政策精准推送。督促落实惠企收费政策，降低企业用能、用气和物流成本，确保国家政策红利落地落实。强化行政事业性收费监督检查，加强行政审批中介服务、行业协会收费监管。强化民营企业合法权益保护，积极推广运用“一个网站(电脑端)、一个微信公众号(微信端)、一个手机APP(移动端)”网络平台维权功能，畅通维权渠道。加大维权案例的宣传，扩大民营企业合法权益保护的社会影响力。加强涉企维权部门协作配合，建立保护民营企业合法权益工作联动机制。扩大民营企业党的组织和工作覆盖面，落实党建工作指导员职责，重点做好指导企业党员发展、组建党组织和开展活动，收集反映企业诉求、帮助协调解决企业困难等工作。持续探索打造具有乐山特色的“小个专”党建示范点并做好运用推广，共同促进民营企业党组织建设。</w:t>
      </w:r>
    </w:p>
    <w:tbl>
      <w:tblPr>
        <w:tblStyle w:val="2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9061" w:type="dxa"/>
          </w:tcPr>
          <w:p>
            <w:pPr>
              <w:pStyle w:val="17"/>
              <w:ind w:firstLine="560"/>
              <w:jc w:val="both"/>
              <w:rPr>
                <w:color w:val="auto"/>
                <w:sz w:val="28"/>
                <w:szCs w:val="28"/>
              </w:rPr>
            </w:pPr>
            <w:r>
              <w:rPr>
                <w:rFonts w:eastAsia="黑体"/>
                <w:color w:val="auto"/>
                <w:sz w:val="28"/>
                <w:szCs w:val="28"/>
              </w:rPr>
              <w:t>专栏2：</w:t>
            </w:r>
            <w:r>
              <w:rPr>
                <w:rFonts w:hint="eastAsia" w:eastAsia="黑体"/>
                <w:color w:val="auto"/>
                <w:sz w:val="28"/>
                <w:szCs w:val="28"/>
              </w:rPr>
              <w:t xml:space="preserve"> 服务民营经济健康发展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61" w:type="dxa"/>
          </w:tcPr>
          <w:p>
            <w:pPr>
              <w:ind w:firstLine="562"/>
              <w:jc w:val="left"/>
              <w:rPr>
                <w:rFonts w:ascii="Times New Roman" w:hAnsi="Times New Roman" w:eastAsia="仿宋_GB2312"/>
                <w:b/>
                <w:bCs/>
                <w:snapToGrid w:val="0"/>
                <w:color w:val="auto"/>
                <w:kern w:val="0"/>
                <w:sz w:val="28"/>
                <w:szCs w:val="28"/>
                <w:lang w:bidi="ar"/>
              </w:rPr>
            </w:pPr>
            <w:r>
              <w:rPr>
                <w:rFonts w:hint="eastAsia" w:ascii="Times New Roman" w:hAnsi="Times New Roman" w:eastAsia="仿宋_GB2312"/>
                <w:b/>
                <w:bCs/>
                <w:snapToGrid w:val="0"/>
                <w:color w:val="auto"/>
                <w:kern w:val="0"/>
                <w:sz w:val="28"/>
                <w:szCs w:val="28"/>
                <w:lang w:bidi="ar"/>
              </w:rPr>
              <w:t>1.民营企业创新发展行动。</w:t>
            </w:r>
            <w:r>
              <w:rPr>
                <w:rFonts w:hint="eastAsia" w:ascii="Times New Roman" w:hAnsi="Times New Roman" w:eastAsia="仿宋_GB2312"/>
                <w:snapToGrid w:val="0"/>
                <w:color w:val="auto"/>
                <w:kern w:val="0"/>
                <w:sz w:val="28"/>
                <w:szCs w:val="28"/>
                <w:lang w:bidi="ar"/>
              </w:rPr>
              <w:t xml:space="preserve">统筹推进《乐山市民营企业雁阵培育五年行动计划（2020-2024年）》,培育壮大市场主体，加快培育一批具有较强市场竞争力，辐射面广、带动性强，在行业处于领先地位的大中型民营企业，形成雁阵梯队，发挥引领作用，推动全市民营经济持续健康发展。全面贯彻落实《四川省民营企业家梯队建设五年行动计划（2020-2024年）》，积极配合做好乐山市企业家培育工作。 </w:t>
            </w:r>
            <w:r>
              <w:rPr>
                <w:rFonts w:hint="eastAsia" w:ascii="Times New Roman" w:hAnsi="Times New Roman" w:eastAsia="仿宋_GB2312"/>
                <w:b/>
                <w:bCs/>
                <w:snapToGrid w:val="0"/>
                <w:color w:val="auto"/>
                <w:kern w:val="0"/>
                <w:sz w:val="28"/>
                <w:szCs w:val="28"/>
                <w:lang w:bidi="ar"/>
              </w:rPr>
              <w:t xml:space="preserve"> </w:t>
            </w:r>
          </w:p>
          <w:p>
            <w:pPr>
              <w:ind w:firstLine="562"/>
              <w:jc w:val="left"/>
              <w:rPr>
                <w:rFonts w:ascii="Times New Roman" w:hAnsi="Times New Roman" w:eastAsia="仿宋_GB2312"/>
                <w:snapToGrid w:val="0"/>
                <w:color w:val="auto"/>
                <w:kern w:val="0"/>
                <w:sz w:val="28"/>
                <w:szCs w:val="28"/>
                <w:lang w:bidi="ar"/>
              </w:rPr>
            </w:pPr>
            <w:r>
              <w:rPr>
                <w:rFonts w:hint="eastAsia" w:ascii="Times New Roman" w:hAnsi="Times New Roman" w:eastAsia="仿宋_GB2312"/>
                <w:b/>
                <w:bCs/>
                <w:snapToGrid w:val="0"/>
                <w:color w:val="auto"/>
                <w:kern w:val="0"/>
                <w:sz w:val="28"/>
                <w:szCs w:val="28"/>
                <w:lang w:bidi="ar"/>
              </w:rPr>
              <w:t>2.县域民营经济示范活动。</w:t>
            </w:r>
            <w:r>
              <w:rPr>
                <w:rFonts w:hint="eastAsia" w:ascii="Times New Roman" w:hAnsi="Times New Roman" w:eastAsia="仿宋_GB2312"/>
                <w:snapToGrid w:val="0"/>
                <w:color w:val="auto"/>
                <w:kern w:val="0"/>
                <w:sz w:val="28"/>
                <w:szCs w:val="28"/>
                <w:lang w:bidi="ar"/>
              </w:rPr>
              <w:t>积极推荐具有代表性的县（市、区）争创县域民营经济改革发展试点。</w:t>
            </w:r>
          </w:p>
        </w:tc>
      </w:tr>
    </w:tbl>
    <w:p>
      <w:pPr>
        <w:pStyle w:val="5"/>
        <w:numPr>
          <w:ilvl w:val="0"/>
          <w:numId w:val="1"/>
        </w:numPr>
        <w:ind w:left="-13" w:leftChars="0" w:firstLine="643" w:firstLineChars="0"/>
        <w:jc w:val="center"/>
        <w:rPr>
          <w:rFonts w:ascii="Times New Roman" w:hAnsi="Times New Roman" w:eastAsia="楷体_GB2312" w:cs="Times New Roman"/>
          <w:snapToGrid w:val="0"/>
          <w:color w:val="auto"/>
          <w:kern w:val="0"/>
        </w:rPr>
      </w:pPr>
      <w:bookmarkStart w:id="28" w:name="_Toc77261191"/>
      <w:r>
        <w:rPr>
          <w:rFonts w:hint="eastAsia" w:ascii="Times New Roman" w:hAnsi="Times New Roman" w:eastAsia="楷体_GB2312" w:cs="Times New Roman"/>
          <w:snapToGrid w:val="0"/>
          <w:color w:val="auto"/>
          <w:kern w:val="0"/>
        </w:rPr>
        <w:t>高质量发展提升工程</w:t>
      </w:r>
      <w:bookmarkEnd w:id="28"/>
    </w:p>
    <w:p>
      <w:pPr>
        <w:pStyle w:val="36"/>
        <w:ind w:firstLine="640"/>
        <w:jc w:val="both"/>
        <w:rPr>
          <w:rFonts w:ascii="仿宋_GB2312" w:eastAsia="仿宋_GB2312"/>
          <w:color w:val="auto"/>
        </w:rPr>
      </w:pPr>
      <w:r>
        <w:rPr>
          <w:rFonts w:hint="eastAsia" w:ascii="仿宋_GB2312" w:eastAsia="仿宋_GB2312"/>
          <w:color w:val="auto"/>
        </w:rPr>
        <w:t>围绕乐山建设高质量发展增长极的战略定位，</w:t>
      </w:r>
      <w:r>
        <w:rPr>
          <w:rFonts w:hint="eastAsia" w:ascii="仿宋_GB2312" w:eastAsia="仿宋_GB2312"/>
          <w:color w:val="auto"/>
          <w:lang w:eastAsia="zh-CN"/>
        </w:rPr>
        <w:t>主动融入</w:t>
      </w:r>
      <w:r>
        <w:rPr>
          <w:rFonts w:hint="eastAsia" w:ascii="仿宋_GB2312" w:eastAsia="仿宋_GB2312"/>
          <w:color w:val="auto"/>
        </w:rPr>
        <w:t>1+2+6+Ｎ</w:t>
      </w:r>
      <w:r>
        <w:rPr>
          <w:rStyle w:val="26"/>
          <w:rFonts w:hint="eastAsia" w:ascii="仿宋_GB2312" w:eastAsia="仿宋_GB2312"/>
          <w:color w:val="auto"/>
        </w:rPr>
        <w:footnoteReference w:id="3"/>
      </w:r>
      <w:r>
        <w:rPr>
          <w:rFonts w:hint="eastAsia" w:ascii="仿宋_GB2312" w:eastAsia="仿宋_GB2312"/>
          <w:color w:val="auto"/>
        </w:rPr>
        <w:t>的市域经济总体布局</w:t>
      </w:r>
      <w:r>
        <w:rPr>
          <w:rFonts w:hint="eastAsia" w:ascii="仿宋_GB2312" w:eastAsia="仿宋_GB2312"/>
          <w:color w:val="auto"/>
          <w:lang w:eastAsia="zh-CN"/>
        </w:rPr>
        <w:t>和</w:t>
      </w:r>
      <w:r>
        <w:rPr>
          <w:rFonts w:hint="eastAsia" w:ascii="仿宋_GB2312" w:hAnsi="仿宋_GB2312" w:eastAsia="仿宋_GB2312" w:cs="仿宋_GB2312"/>
          <w:b w:val="0"/>
          <w:bCs w:val="0"/>
          <w:color w:val="auto"/>
          <w:sz w:val="32"/>
          <w:szCs w:val="32"/>
          <w:lang w:eastAsia="zh-CN"/>
        </w:rPr>
        <w:t>区域协同创新格局</w:t>
      </w:r>
      <w:r>
        <w:rPr>
          <w:rFonts w:hint="eastAsia" w:ascii="仿宋_GB2312" w:eastAsia="仿宋_GB2312"/>
          <w:color w:val="auto"/>
        </w:rPr>
        <w:t>，</w:t>
      </w:r>
      <w:r>
        <w:rPr>
          <w:rFonts w:hint="eastAsia" w:ascii="仿宋_GB2312" w:eastAsia="仿宋_GB2312"/>
          <w:color w:val="auto"/>
          <w:lang w:eastAsia="zh-CN"/>
        </w:rPr>
        <w:t>结合</w:t>
      </w:r>
      <w:r>
        <w:rPr>
          <w:rFonts w:hint="eastAsia" w:ascii="仿宋_GB2312" w:eastAsia="仿宋_GB2312"/>
          <w:color w:val="auto"/>
        </w:rPr>
        <w:t>4+1现代产业体系</w:t>
      </w:r>
      <w:r>
        <w:rPr>
          <w:rStyle w:val="26"/>
          <w:rFonts w:hint="eastAsia" w:ascii="仿宋_GB2312" w:eastAsia="仿宋_GB2312"/>
          <w:color w:val="auto"/>
        </w:rPr>
        <w:footnoteReference w:id="4"/>
      </w:r>
      <w:r>
        <w:rPr>
          <w:rFonts w:hint="eastAsia" w:ascii="仿宋_GB2312" w:eastAsia="仿宋_GB2312"/>
          <w:color w:val="auto"/>
          <w:lang w:eastAsia="zh-CN"/>
        </w:rPr>
        <w:t>，</w:t>
      </w:r>
      <w:r>
        <w:rPr>
          <w:rFonts w:hint="eastAsia" w:ascii="仿宋_GB2312" w:eastAsia="仿宋_GB2312"/>
          <w:color w:val="auto"/>
        </w:rPr>
        <w:t>持续推进质量强市战略</w:t>
      </w:r>
      <w:r>
        <w:rPr>
          <w:rFonts w:hint="eastAsia" w:ascii="仿宋_GB2312" w:eastAsia="仿宋_GB2312"/>
          <w:color w:val="auto"/>
          <w:lang w:eastAsia="zh-CN"/>
        </w:rPr>
        <w:t>、</w:t>
      </w:r>
      <w:r>
        <w:rPr>
          <w:rFonts w:hint="eastAsia" w:ascii="仿宋_GB2312" w:eastAsia="仿宋_GB2312"/>
          <w:snapToGrid w:val="0"/>
          <w:color w:val="auto"/>
          <w:lang w:eastAsia="zh-CN" w:bidi="ar"/>
        </w:rPr>
        <w:t>创新驱动战略</w:t>
      </w:r>
      <w:r>
        <w:rPr>
          <w:rFonts w:hint="eastAsia" w:ascii="仿宋_GB2312" w:eastAsia="仿宋_GB2312"/>
          <w:color w:val="auto"/>
        </w:rPr>
        <w:t>，进一步发挥质量的基础作用，</w:t>
      </w:r>
      <w:r>
        <w:rPr>
          <w:rFonts w:hint="eastAsia" w:ascii="仿宋_GB2312" w:eastAsia="仿宋_GB2312"/>
          <w:color w:val="auto"/>
          <w:lang w:eastAsia="zh-CN"/>
        </w:rPr>
        <w:t>发挥知识产权的引领作用，</w:t>
      </w:r>
      <w:r>
        <w:rPr>
          <w:rFonts w:hint="eastAsia" w:ascii="仿宋_GB2312" w:eastAsia="仿宋_GB2312"/>
          <w:color w:val="auto"/>
        </w:rPr>
        <w:t>为乐山建设</w:t>
      </w:r>
      <w:r>
        <w:rPr>
          <w:rFonts w:hint="eastAsia" w:ascii="仿宋_GB2312" w:eastAsia="仿宋_GB2312"/>
          <w:color w:val="auto"/>
          <w:lang w:eastAsia="zh-CN"/>
        </w:rPr>
        <w:t>为</w:t>
      </w:r>
      <w:r>
        <w:rPr>
          <w:rFonts w:hint="eastAsia" w:ascii="仿宋_GB2312" w:hAnsi="仿宋" w:eastAsia="仿宋_GB2312" w:cs="仿宋"/>
          <w:color w:val="auto"/>
          <w:sz w:val="32"/>
          <w:szCs w:val="32"/>
        </w:rPr>
        <w:t>创新发展功能强、区域带动作用强的全省经济副中心，</w:t>
      </w:r>
      <w:r>
        <w:rPr>
          <w:rFonts w:hint="eastAsia" w:ascii="仿宋_GB2312" w:eastAsia="仿宋_GB2312"/>
          <w:color w:val="auto"/>
        </w:rPr>
        <w:t>成渝地区经济高质量发展的重要增长极和动力源提供市场保障。</w:t>
      </w:r>
    </w:p>
    <w:p>
      <w:pPr>
        <w:pStyle w:val="36"/>
        <w:jc w:val="both"/>
        <w:outlineLvl w:val="2"/>
        <w:rPr>
          <w:rFonts w:hint="eastAsia" w:ascii="黑体" w:hAnsi="黑体" w:eastAsia="黑体" w:cs="黑体"/>
          <w:b w:val="0"/>
          <w:bCs w:val="0"/>
          <w:snapToGrid w:val="0"/>
          <w:color w:val="auto"/>
          <w:lang w:bidi="ar"/>
        </w:rPr>
      </w:pPr>
      <w:bookmarkStart w:id="29" w:name="_Toc77261192"/>
      <w:r>
        <w:rPr>
          <w:rFonts w:hint="eastAsia" w:ascii="黑体" w:hAnsi="黑体" w:eastAsia="黑体" w:cs="黑体"/>
          <w:b w:val="0"/>
          <w:bCs w:val="0"/>
          <w:snapToGrid w:val="0"/>
          <w:color w:val="auto"/>
          <w:lang w:eastAsia="zh-CN" w:bidi="ar"/>
        </w:rPr>
        <w:t>一、</w:t>
      </w:r>
      <w:r>
        <w:rPr>
          <w:rFonts w:hint="eastAsia" w:ascii="黑体" w:hAnsi="黑体" w:eastAsia="黑体" w:cs="黑体"/>
          <w:b w:val="0"/>
          <w:bCs w:val="0"/>
          <w:snapToGrid w:val="0"/>
          <w:color w:val="auto"/>
          <w:lang w:bidi="ar"/>
        </w:rPr>
        <w:t>深入实施质量强市战略</w:t>
      </w:r>
      <w:bookmarkEnd w:id="29"/>
    </w:p>
    <w:p>
      <w:pPr>
        <w:pStyle w:val="36"/>
        <w:ind w:firstLine="640"/>
        <w:jc w:val="both"/>
        <w:rPr>
          <w:rFonts w:ascii="仿宋_GB2312" w:hAnsi="Times New Roman" w:eastAsia="仿宋_GB2312" w:cs="仿宋_GB2312"/>
          <w:color w:val="auto"/>
        </w:rPr>
      </w:pPr>
      <w:r>
        <w:rPr>
          <w:rFonts w:hint="eastAsia" w:ascii="仿宋_GB2312" w:eastAsia="仿宋_GB2312" w:cs="Times New Roman"/>
          <w:color w:val="auto"/>
          <w:lang w:bidi="ar"/>
        </w:rPr>
        <w:t>全面搭建“党委领导、政府主导、部门联合、企业主责、社会参与”的大质量工作格局，完善质量强市工作机制和战略方案，丰富活动载体，促进质量项目落地。</w:t>
      </w:r>
      <w:r>
        <w:rPr>
          <w:rFonts w:hint="eastAsia" w:ascii="仿宋_GB2312" w:eastAsia="仿宋_GB2312"/>
          <w:color w:val="auto"/>
          <w:lang w:bidi="ar"/>
        </w:rPr>
        <w:t>宣贯落实四川省质量促进条例，完善质量激励政策，建立政府质量奖获奖企业和个人先进质量管理经验宣传推广长效机制。优化质量工作考核机制，强化质量</w:t>
      </w:r>
      <w:r>
        <w:rPr>
          <w:rFonts w:hint="eastAsia" w:ascii="仿宋_GB2312" w:eastAsia="仿宋_GB2312"/>
          <w:color w:val="auto"/>
          <w:lang w:eastAsia="zh-CN" w:bidi="ar"/>
        </w:rPr>
        <w:t>工作</w:t>
      </w:r>
      <w:r>
        <w:rPr>
          <w:rFonts w:hint="eastAsia" w:ascii="仿宋_GB2312" w:eastAsia="仿宋_GB2312"/>
          <w:color w:val="auto"/>
          <w:lang w:bidi="ar"/>
        </w:rPr>
        <w:t>的督导和考核结果的应用，提升质量工作考核效果。深入开展“全国质量强市示范城市”创建，统筹推进产品质量、服务质量和工程质量，围绕重点领域、产业、产品、区域，支持各县（市、区）创建省级质量强县示范县，鼓励企业开展质量强企，强化质量强市共建共治共享格局。积极推进乐山市质量基础设施“一站式”</w:t>
      </w:r>
      <w:r>
        <w:rPr>
          <w:rFonts w:hint="eastAsia" w:ascii="仿宋_GB2312" w:hAnsi="Times New Roman" w:eastAsia="仿宋_GB2312" w:cs="仿宋_GB2312"/>
          <w:color w:val="auto"/>
        </w:rPr>
        <w:t>服务</w:t>
      </w:r>
      <w:r>
        <w:rPr>
          <w:rFonts w:hint="eastAsia" w:ascii="仿宋_GB2312" w:hAnsi="Times New Roman" w:eastAsia="仿宋_GB2312" w:cs="仿宋_GB2312"/>
          <w:color w:val="auto"/>
          <w:lang w:eastAsia="zh-CN"/>
        </w:rPr>
        <w:t>试点项目建设</w:t>
      </w:r>
      <w:r>
        <w:rPr>
          <w:rFonts w:hint="eastAsia" w:ascii="仿宋_GB2312" w:hAnsi="Times New Roman" w:eastAsia="仿宋_GB2312" w:cs="仿宋_GB2312"/>
          <w:color w:val="auto"/>
        </w:rPr>
        <w:t>，降低企业在质量管理、技术标准、生产过程质量控制等方面的成本，全面促进企业和产业质量提升，通过试点经验总结提炼，为全省质量基础设施建设提供可复制、可推广的“一站式”服务</w:t>
      </w:r>
      <w:r>
        <w:rPr>
          <w:rFonts w:hint="eastAsia" w:ascii="仿宋_GB2312" w:hAnsi="Times New Roman" w:eastAsia="仿宋_GB2312" w:cs="仿宋_GB2312"/>
          <w:color w:val="auto"/>
          <w:lang w:eastAsia="zh-CN"/>
        </w:rPr>
        <w:t>“乐山</w:t>
      </w:r>
      <w:r>
        <w:rPr>
          <w:rFonts w:hint="eastAsia" w:ascii="仿宋_GB2312" w:hAnsi="Times New Roman" w:eastAsia="仿宋_GB2312" w:cs="仿宋_GB2312"/>
          <w:color w:val="auto"/>
        </w:rPr>
        <w:t>模式</w:t>
      </w:r>
      <w:r>
        <w:rPr>
          <w:rFonts w:hint="eastAsia" w:ascii="仿宋_GB2312" w:hAnsi="Times New Roman" w:eastAsia="仿宋_GB2312" w:cs="仿宋_GB2312"/>
          <w:color w:val="auto"/>
          <w:lang w:eastAsia="zh-CN"/>
        </w:rPr>
        <w:t>”</w:t>
      </w:r>
      <w:r>
        <w:rPr>
          <w:rFonts w:hint="eastAsia" w:ascii="仿宋_GB2312" w:hAnsi="Times New Roman" w:eastAsia="仿宋_GB2312" w:cs="仿宋_GB2312"/>
          <w:color w:val="auto"/>
        </w:rPr>
        <w:t>。</w:t>
      </w:r>
    </w:p>
    <w:p>
      <w:pPr>
        <w:pStyle w:val="36"/>
        <w:jc w:val="both"/>
        <w:outlineLvl w:val="2"/>
        <w:rPr>
          <w:rFonts w:hint="eastAsia" w:ascii="黑体" w:hAnsi="黑体" w:eastAsia="黑体" w:cs="黑体"/>
          <w:b w:val="0"/>
          <w:bCs w:val="0"/>
          <w:snapToGrid w:val="0"/>
          <w:color w:val="auto"/>
          <w:lang w:eastAsia="zh-CN" w:bidi="ar"/>
        </w:rPr>
      </w:pPr>
      <w:bookmarkStart w:id="30" w:name="_Toc77261193"/>
      <w:r>
        <w:rPr>
          <w:rFonts w:hint="eastAsia" w:ascii="黑体" w:hAnsi="黑体" w:eastAsia="黑体" w:cs="黑体"/>
          <w:b w:val="0"/>
          <w:bCs w:val="0"/>
          <w:snapToGrid w:val="0"/>
          <w:color w:val="auto"/>
          <w:lang w:eastAsia="zh-CN" w:bidi="ar"/>
        </w:rPr>
        <w:t>二、</w:t>
      </w:r>
      <w:r>
        <w:rPr>
          <w:rFonts w:hint="eastAsia" w:ascii="黑体" w:hAnsi="黑体" w:eastAsia="黑体" w:cs="黑体"/>
          <w:b w:val="0"/>
          <w:bCs w:val="0"/>
          <w:snapToGrid w:val="0"/>
          <w:color w:val="auto"/>
          <w:lang w:bidi="ar"/>
        </w:rPr>
        <w:t>开展质量提升</w:t>
      </w:r>
      <w:bookmarkEnd w:id="30"/>
      <w:r>
        <w:rPr>
          <w:rFonts w:hint="eastAsia" w:ascii="黑体" w:hAnsi="黑体" w:eastAsia="黑体" w:cs="黑体"/>
          <w:b w:val="0"/>
          <w:bCs w:val="0"/>
          <w:snapToGrid w:val="0"/>
          <w:color w:val="auto"/>
          <w:lang w:eastAsia="zh-CN" w:bidi="ar"/>
        </w:rPr>
        <w:t>行动</w:t>
      </w:r>
    </w:p>
    <w:p>
      <w:pPr>
        <w:pStyle w:val="36"/>
        <w:keepNext/>
        <w:widowControl w:val="0"/>
        <w:ind w:firstLine="640"/>
        <w:jc w:val="both"/>
        <w:rPr>
          <w:rFonts w:ascii="仿宋_GB2312" w:eastAsia="仿宋_GB2312"/>
          <w:b/>
          <w:bCs/>
          <w:color w:val="auto"/>
          <w:lang w:bidi="ar"/>
        </w:rPr>
      </w:pPr>
      <w:r>
        <w:rPr>
          <w:rFonts w:hint="eastAsia" w:ascii="仿宋_GB2312" w:eastAsia="仿宋_GB2312" w:cs="Times New Roman"/>
          <w:color w:val="auto"/>
          <w:lang w:bidi="ar"/>
        </w:rPr>
        <w:t>结合乐山特色，打造质量品牌。</w:t>
      </w:r>
      <w:r>
        <w:rPr>
          <w:rFonts w:hint="eastAsia" w:ascii="仿宋_GB2312" w:eastAsia="仿宋_GB2312"/>
          <w:color w:val="auto"/>
          <w:lang w:bidi="ar"/>
        </w:rPr>
        <w:t>推进工业质量品牌提升行动，</w:t>
      </w:r>
      <w:r>
        <w:rPr>
          <w:rFonts w:hint="eastAsia" w:ascii="仿宋_GB2312" w:eastAsia="仿宋_GB2312"/>
          <w:color w:val="auto"/>
          <w:lang w:eastAsia="zh-CN" w:bidi="ar"/>
        </w:rPr>
        <w:t>引导企业争创</w:t>
      </w:r>
      <w:r>
        <w:rPr>
          <w:rFonts w:hint="eastAsia" w:ascii="仿宋_GB2312" w:eastAsia="仿宋_GB2312"/>
          <w:color w:val="auto"/>
          <w:lang w:bidi="ar"/>
        </w:rPr>
        <w:t>中国质量奖（含提名奖）、四川省天府质量奖（含提名奖）</w:t>
      </w:r>
      <w:r>
        <w:rPr>
          <w:rFonts w:hint="eastAsia" w:ascii="仿宋_GB2312" w:eastAsia="仿宋_GB2312"/>
          <w:color w:val="auto"/>
          <w:lang w:eastAsia="zh-CN" w:bidi="ar"/>
        </w:rPr>
        <w:t>、</w:t>
      </w:r>
      <w:r>
        <w:rPr>
          <w:rFonts w:hint="eastAsia" w:ascii="仿宋_GB2312" w:eastAsia="仿宋_GB2312"/>
          <w:color w:val="auto"/>
          <w:lang w:bidi="ar"/>
        </w:rPr>
        <w:t>乐山市政府质量奖</w:t>
      </w:r>
      <w:r>
        <w:rPr>
          <w:rFonts w:hint="eastAsia" w:ascii="仿宋_GB2312" w:eastAsia="仿宋_GB2312"/>
          <w:color w:val="auto"/>
          <w:lang w:eastAsia="zh-CN" w:bidi="ar"/>
        </w:rPr>
        <w:t>、中国驰名商标等</w:t>
      </w:r>
      <w:r>
        <w:rPr>
          <w:rFonts w:hint="eastAsia" w:ascii="仿宋_GB2312" w:eastAsia="仿宋_GB2312"/>
          <w:color w:val="auto"/>
          <w:lang w:bidi="ar"/>
        </w:rPr>
        <w:t>，培育一批“天府名品”质量品牌，打造乐山高端品牌。以“碳达峰、碳达标”为要求，实施绿色清洁能力战略，打造全光伏产业链为重点的“中国绿色硅谷”，</w:t>
      </w:r>
      <w:r>
        <w:rPr>
          <w:rFonts w:hint="eastAsia" w:ascii="仿宋_GB2312" w:eastAsia="仿宋_GB2312"/>
          <w:color w:val="auto"/>
          <w:lang w:eastAsia="zh-CN" w:bidi="ar"/>
        </w:rPr>
        <w:t>推进</w:t>
      </w:r>
      <w:r>
        <w:rPr>
          <w:rFonts w:hint="eastAsia" w:ascii="仿宋_GB2312" w:eastAsia="仿宋_GB2312"/>
          <w:color w:val="auto"/>
          <w:lang w:bidi="ar"/>
        </w:rPr>
        <w:t>硅检中心</w:t>
      </w:r>
      <w:r>
        <w:rPr>
          <w:rFonts w:hint="eastAsia" w:ascii="仿宋_GB2312" w:eastAsia="仿宋_GB2312"/>
          <w:color w:val="auto"/>
          <w:lang w:eastAsia="zh-CN" w:bidi="ar"/>
        </w:rPr>
        <w:t>建设</w:t>
      </w:r>
      <w:r>
        <w:rPr>
          <w:rFonts w:hint="eastAsia" w:ascii="仿宋_GB2312" w:eastAsia="仿宋_GB2312"/>
          <w:color w:val="auto"/>
          <w:lang w:bidi="ar"/>
        </w:rPr>
        <w:t>。开发具有乐山地方特色的文创商品，打造“乐山礼物”旗舰店，打响“乐山礼物”品牌。</w:t>
      </w:r>
      <w:r>
        <w:rPr>
          <w:rFonts w:hint="eastAsia" w:ascii="仿宋_GB2312" w:eastAsia="仿宋_GB2312"/>
          <w:color w:val="auto"/>
          <w:lang w:eastAsia="zh-CN" w:bidi="ar"/>
        </w:rPr>
        <w:t>推进有机产品认证示范创建。</w:t>
      </w:r>
      <w:r>
        <w:rPr>
          <w:rFonts w:hint="eastAsia" w:ascii="仿宋_GB2312" w:eastAsia="仿宋_GB2312"/>
          <w:color w:val="auto"/>
          <w:lang w:bidi="ar"/>
        </w:rPr>
        <w:t>完善区域品牌体系，做强“峨眉山”“小凉山”“峨岭云边”等区域品牌，提升品牌影响力。统筹加强制造业、农业、服务业等重点行业品牌发展，持续提升峨眉山、乐山大佛两个核心景区品牌形象。有效运用市场化品牌评价机制，优化品牌发展环境，增强品牌培育能力，完善品牌培育梯队，提高品牌附加值。加大品牌发展与知识产权保护工作结合力度，构建品牌保护体系，护航品牌发展与提升。</w:t>
      </w:r>
    </w:p>
    <w:p>
      <w:pPr>
        <w:pStyle w:val="36"/>
        <w:jc w:val="both"/>
        <w:outlineLvl w:val="2"/>
        <w:rPr>
          <w:rFonts w:hint="eastAsia" w:ascii="黑体" w:hAnsi="黑体" w:eastAsia="黑体" w:cs="黑体"/>
          <w:b w:val="0"/>
          <w:bCs w:val="0"/>
          <w:snapToGrid w:val="0"/>
          <w:color w:val="auto"/>
          <w:lang w:bidi="ar"/>
        </w:rPr>
      </w:pPr>
      <w:bookmarkStart w:id="31" w:name="_Toc77261194"/>
      <w:r>
        <w:rPr>
          <w:rFonts w:hint="eastAsia" w:ascii="黑体" w:hAnsi="黑体" w:eastAsia="黑体" w:cs="黑体"/>
          <w:b w:val="0"/>
          <w:bCs w:val="0"/>
          <w:snapToGrid w:val="0"/>
          <w:color w:val="auto"/>
          <w:lang w:eastAsia="zh-CN" w:bidi="ar"/>
        </w:rPr>
        <w:t>三、</w:t>
      </w:r>
      <w:r>
        <w:rPr>
          <w:rFonts w:hint="eastAsia" w:ascii="黑体" w:hAnsi="黑体" w:eastAsia="黑体" w:cs="黑体"/>
          <w:b w:val="0"/>
          <w:bCs w:val="0"/>
          <w:snapToGrid w:val="0"/>
          <w:color w:val="auto"/>
          <w:lang w:bidi="ar"/>
        </w:rPr>
        <w:t>发挥标准</w:t>
      </w:r>
      <w:r>
        <w:rPr>
          <w:rFonts w:hint="eastAsia" w:ascii="黑体" w:hAnsi="黑体" w:eastAsia="黑体" w:cs="黑体"/>
          <w:b w:val="0"/>
          <w:bCs w:val="0"/>
          <w:snapToGrid w:val="0"/>
          <w:color w:val="auto"/>
          <w:lang w:eastAsia="zh-CN" w:bidi="ar"/>
        </w:rPr>
        <w:t>引领</w:t>
      </w:r>
      <w:r>
        <w:rPr>
          <w:rFonts w:hint="eastAsia" w:ascii="黑体" w:hAnsi="黑体" w:eastAsia="黑体" w:cs="黑体"/>
          <w:b w:val="0"/>
          <w:bCs w:val="0"/>
          <w:snapToGrid w:val="0"/>
          <w:color w:val="auto"/>
          <w:lang w:bidi="ar"/>
        </w:rPr>
        <w:t>作用</w:t>
      </w:r>
      <w:bookmarkEnd w:id="31"/>
    </w:p>
    <w:p>
      <w:pPr>
        <w:pStyle w:val="36"/>
        <w:ind w:firstLine="640"/>
        <w:jc w:val="both"/>
        <w:rPr>
          <w:rFonts w:hint="eastAsia" w:ascii="仿宋_GB2312" w:eastAsia="仿宋_GB2312"/>
          <w:color w:val="auto"/>
          <w:lang w:bidi="ar"/>
        </w:rPr>
      </w:pPr>
      <w:r>
        <w:rPr>
          <w:rFonts w:hint="eastAsia" w:ascii="仿宋_GB2312" w:eastAsia="仿宋_GB2312"/>
          <w:color w:val="auto"/>
          <w:lang w:bidi="ar"/>
        </w:rPr>
        <w:t xml:space="preserve">聚焦乐山优势产业，引导扶持企业主导或参与国际、国家和行业标准制修订，持续推进地方标准、团体标准制修订，争创一批国、省级标准化示范项目，以标准形式推广试点示范成功经验，更好发挥试点示范带动作用。加强国家级标准化技术委员会分支机构或办公机构等标准化技术组织建设和管理，强化标准体系科学规划、有效实施、持续改进的闭环管理。深入实施企业标准自我声明、“领跑者”制度、“百千万行动”和对标达标提升行动，督促企业严格执行标准，实施内外销产品同线同标同质工程。争取国家级、省级硅材料方面的标准化技术委员会分支机构或办公机构落户乐山。 </w:t>
      </w:r>
    </w:p>
    <w:tbl>
      <w:tblPr>
        <w:tblStyle w:val="2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pStyle w:val="17"/>
              <w:ind w:firstLine="560"/>
              <w:jc w:val="both"/>
              <w:rPr>
                <w:color w:val="auto"/>
                <w:sz w:val="28"/>
                <w:szCs w:val="28"/>
              </w:rPr>
            </w:pPr>
            <w:r>
              <w:rPr>
                <w:rFonts w:eastAsia="黑体"/>
                <w:color w:val="auto"/>
                <w:sz w:val="28"/>
                <w:szCs w:val="28"/>
              </w:rPr>
              <w:t>专栏3：</w:t>
            </w:r>
            <w:r>
              <w:rPr>
                <w:rFonts w:hint="eastAsia" w:eastAsia="黑体"/>
                <w:color w:val="auto"/>
                <w:sz w:val="28"/>
                <w:szCs w:val="28"/>
              </w:rPr>
              <w:t>市场高质量</w:t>
            </w:r>
            <w:r>
              <w:rPr>
                <w:rFonts w:eastAsia="黑体"/>
                <w:color w:val="auto"/>
                <w:sz w:val="28"/>
                <w:szCs w:val="28"/>
              </w:rPr>
              <w:t>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61" w:type="dxa"/>
          </w:tcPr>
          <w:p>
            <w:pPr>
              <w:ind w:firstLine="562"/>
              <w:rPr>
                <w:rFonts w:ascii="Times New Roman" w:hAnsi="Times New Roman" w:eastAsia="仿宋_GB2312"/>
                <w:snapToGrid w:val="0"/>
                <w:color w:val="auto"/>
                <w:kern w:val="0"/>
                <w:sz w:val="28"/>
                <w:szCs w:val="28"/>
                <w:lang w:bidi="ar"/>
              </w:rPr>
            </w:pPr>
            <w:r>
              <w:rPr>
                <w:rFonts w:hint="eastAsia" w:ascii="Times New Roman" w:hAnsi="Times New Roman" w:eastAsia="仿宋_GB2312"/>
                <w:b/>
                <w:bCs/>
                <w:snapToGrid w:val="0"/>
                <w:color w:val="auto"/>
                <w:kern w:val="0"/>
                <w:sz w:val="28"/>
                <w:szCs w:val="28"/>
                <w:lang w:bidi="ar"/>
              </w:rPr>
              <w:t>1.高水平质量提升行动。</w:t>
            </w:r>
            <w:r>
              <w:rPr>
                <w:rFonts w:hint="eastAsia" w:ascii="Times New Roman" w:hAnsi="Times New Roman" w:eastAsia="仿宋_GB2312"/>
                <w:snapToGrid w:val="0"/>
                <w:color w:val="auto"/>
                <w:kern w:val="0"/>
                <w:sz w:val="28"/>
                <w:szCs w:val="28"/>
                <w:lang w:bidi="ar"/>
              </w:rPr>
              <w:t>力争培育“中国质量奖（提名奖）”或“四川省天府质量奖（提名奖）”获奖企业实现零的突破，“乐山市政府质量奖”评选组织6家、个人4名，认证“天府名品”（产品或服务）5个。创建“质量品牌提升示范区” 1个、争创省级有机产品认证示范区。建成国家级“质量强市示范城市”，建成标准、计量、认证、检验检测等质量基础设施“一站式”服务平台。</w:t>
            </w:r>
          </w:p>
          <w:p>
            <w:pPr>
              <w:ind w:firstLine="562"/>
              <w:rPr>
                <w:rFonts w:eastAsia="仿宋_GB2312"/>
                <w:color w:val="auto"/>
                <w:sz w:val="20"/>
              </w:rPr>
            </w:pPr>
            <w:r>
              <w:rPr>
                <w:rFonts w:hint="eastAsia" w:ascii="Times New Roman" w:hAnsi="Times New Roman" w:eastAsia="仿宋_GB2312"/>
                <w:b/>
                <w:bCs/>
                <w:snapToGrid w:val="0"/>
                <w:color w:val="auto"/>
                <w:kern w:val="0"/>
                <w:sz w:val="28"/>
                <w:szCs w:val="28"/>
                <w:lang w:bidi="ar"/>
              </w:rPr>
              <w:t>2.服务业质量提升行动。</w:t>
            </w:r>
            <w:r>
              <w:rPr>
                <w:rFonts w:hint="eastAsia" w:ascii="Times New Roman" w:hAnsi="Times New Roman" w:eastAsia="仿宋_GB2312"/>
                <w:snapToGrid w:val="0"/>
                <w:color w:val="auto"/>
                <w:kern w:val="0"/>
                <w:sz w:val="28"/>
                <w:szCs w:val="28"/>
                <w:lang w:bidi="ar"/>
              </w:rPr>
              <w:t>开展重点公共服务领域质量满意度常态化监测。鼓励企业开展服务质量自我评估和公开承诺。健全服务认证体系，开展服务认证示范和第三方认证，建立生活型服务业认证制度。支持服务业市场主体开展自愿性认证，培育认证一批优质服务品牌。实施服务业标准化领航工程，服务业、社会管理和公共服务标准化试点示范。</w:t>
            </w:r>
          </w:p>
        </w:tc>
      </w:tr>
    </w:tbl>
    <w:p>
      <w:pPr>
        <w:pStyle w:val="36"/>
        <w:jc w:val="both"/>
        <w:outlineLvl w:val="2"/>
        <w:rPr>
          <w:rFonts w:hint="eastAsia" w:ascii="黑体" w:hAnsi="黑体" w:eastAsia="黑体" w:cs="黑体"/>
          <w:b w:val="0"/>
          <w:bCs w:val="0"/>
          <w:snapToGrid w:val="0"/>
          <w:color w:val="auto"/>
          <w:lang w:bidi="ar"/>
        </w:rPr>
      </w:pPr>
      <w:bookmarkStart w:id="32" w:name="_Toc77261195"/>
      <w:bookmarkStart w:id="33" w:name="_Toc75794441"/>
      <w:bookmarkStart w:id="34" w:name="_Toc75794341"/>
      <w:r>
        <w:rPr>
          <w:rFonts w:hint="eastAsia" w:ascii="黑体" w:hAnsi="黑体" w:eastAsia="黑体" w:cs="黑体"/>
          <w:b w:val="0"/>
          <w:bCs w:val="0"/>
          <w:snapToGrid w:val="0"/>
          <w:color w:val="auto"/>
          <w:lang w:eastAsia="zh-CN" w:bidi="ar"/>
        </w:rPr>
        <w:t>四、</w:t>
      </w:r>
      <w:r>
        <w:rPr>
          <w:rFonts w:hint="eastAsia" w:ascii="黑体" w:hAnsi="黑体" w:eastAsia="黑体" w:cs="黑体"/>
          <w:b w:val="0"/>
          <w:bCs w:val="0"/>
          <w:snapToGrid w:val="0"/>
          <w:color w:val="auto"/>
          <w:lang w:bidi="ar"/>
        </w:rPr>
        <w:t>知识产权引领强市</w:t>
      </w:r>
      <w:bookmarkEnd w:id="32"/>
    </w:p>
    <w:bookmarkEnd w:id="33"/>
    <w:bookmarkEnd w:id="34"/>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构建知识产权高质量发展新格局。</w:t>
      </w:r>
      <w:r>
        <w:rPr>
          <w:rFonts w:hint="eastAsia" w:ascii="仿宋_GB2312" w:hAnsi="仿宋_GB2312" w:eastAsia="仿宋_GB2312" w:cs="仿宋_GB2312"/>
          <w:b w:val="0"/>
          <w:bCs w:val="0"/>
          <w:color w:val="auto"/>
          <w:sz w:val="32"/>
          <w:szCs w:val="32"/>
          <w:lang w:eastAsia="zh-CN"/>
        </w:rPr>
        <w:t>坚持把创新驱动引领高质量发展作为一项长期而紧迫的重要任务，围绕我市建设创新型城市奋斗目标，主动融入区域协同创新格局，按照“一中心两基地三区块”</w:t>
      </w:r>
      <w:r>
        <w:rPr>
          <w:rFonts w:hint="eastAsia" w:ascii="仿宋_GB2312" w:hAnsi="仿宋_GB2312" w:eastAsia="仿宋_GB2312" w:cs="仿宋_GB2312"/>
          <w:b w:val="0"/>
          <w:bCs w:val="0"/>
          <w:color w:val="auto"/>
          <w:sz w:val="32"/>
          <w:szCs w:val="32"/>
          <w:lang w:eastAsia="zh-CN"/>
        </w:rPr>
        <w:footnoteReference w:id="5"/>
      </w:r>
      <w:r>
        <w:rPr>
          <w:rFonts w:hint="eastAsia" w:ascii="仿宋_GB2312" w:hAnsi="仿宋_GB2312" w:eastAsia="仿宋_GB2312" w:cs="仿宋_GB2312"/>
          <w:b w:val="0"/>
          <w:bCs w:val="0"/>
          <w:color w:val="auto"/>
          <w:sz w:val="32"/>
          <w:szCs w:val="32"/>
          <w:lang w:eastAsia="zh-CN"/>
        </w:rPr>
        <w:t>的创新布局，建成国家</w:t>
      </w:r>
      <w:r>
        <w:rPr>
          <w:rFonts w:hint="eastAsia" w:ascii="仿宋_GB2312" w:hAnsi="仿宋_GB2312" w:eastAsia="仿宋_GB2312" w:cs="仿宋_GB2312"/>
          <w:b w:val="0"/>
          <w:bCs w:val="0"/>
          <w:color w:val="auto"/>
          <w:sz w:val="32"/>
          <w:szCs w:val="32"/>
        </w:rPr>
        <w:t>知识产权试点城市，</w:t>
      </w:r>
      <w:r>
        <w:rPr>
          <w:rFonts w:hint="eastAsia" w:ascii="仿宋_GB2312" w:hAnsi="仿宋_GB2312" w:eastAsia="仿宋_GB2312" w:cs="仿宋_GB2312"/>
          <w:b w:val="0"/>
          <w:bCs w:val="0"/>
          <w:color w:val="auto"/>
          <w:sz w:val="32"/>
          <w:szCs w:val="32"/>
          <w:lang w:eastAsia="zh-CN"/>
        </w:rPr>
        <w:t>全面</w:t>
      </w:r>
      <w:r>
        <w:rPr>
          <w:rFonts w:hint="eastAsia" w:ascii="仿宋_GB2312" w:hAnsi="仿宋_GB2312" w:eastAsia="仿宋_GB2312" w:cs="仿宋_GB2312"/>
          <w:b w:val="0"/>
          <w:bCs w:val="0"/>
          <w:color w:val="auto"/>
          <w:sz w:val="32"/>
          <w:szCs w:val="32"/>
        </w:rPr>
        <w:t>提升乐山在</w:t>
      </w:r>
      <w:r>
        <w:rPr>
          <w:rFonts w:hint="eastAsia" w:ascii="仿宋_GB2312" w:hAnsi="仿宋_GB2312" w:eastAsia="仿宋_GB2312" w:cs="仿宋_GB2312"/>
          <w:b w:val="0"/>
          <w:bCs w:val="0"/>
          <w:color w:val="auto"/>
          <w:sz w:val="32"/>
          <w:szCs w:val="32"/>
          <w:lang w:eastAsia="zh-CN"/>
        </w:rPr>
        <w:t>成渝地区双城经济圈</w:t>
      </w:r>
      <w:r>
        <w:rPr>
          <w:rFonts w:hint="eastAsia" w:ascii="仿宋_GB2312" w:hAnsi="仿宋_GB2312" w:eastAsia="仿宋_GB2312" w:cs="仿宋_GB2312"/>
          <w:b w:val="0"/>
          <w:bCs w:val="0"/>
          <w:color w:val="auto"/>
          <w:sz w:val="32"/>
          <w:szCs w:val="32"/>
        </w:rPr>
        <w:t>创新版图中的战略地位，</w:t>
      </w:r>
      <w:r>
        <w:rPr>
          <w:rFonts w:hint="eastAsia" w:ascii="仿宋_GB2312" w:hAnsi="仿宋_GB2312" w:eastAsia="仿宋_GB2312" w:cs="仿宋_GB2312"/>
          <w:b w:val="0"/>
          <w:bCs w:val="0"/>
          <w:color w:val="auto"/>
          <w:sz w:val="32"/>
          <w:szCs w:val="32"/>
          <w:lang w:val="en-US" w:eastAsia="zh-CN"/>
        </w:rPr>
        <w:t>到2025年，全市每万人口高价值发明专利拥有量达1.54件，增速高于全国平均水平，走在全省前列。</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开创知识产权保护建设新局面。加强知识产权保护机构建设。推动中国（四川）知识产权保护中心乐山分中心建设，围绕“4+1”主导产业，开通专利快速预审通道，快速确权、快速维权。推进专利、商标、版权、地理标志等知识产权协同保护。</w:t>
      </w:r>
      <w:r>
        <w:rPr>
          <w:rFonts w:hint="eastAsia" w:ascii="仿宋_GB2312" w:hAnsi="仿宋_GB2312" w:eastAsia="仿宋_GB2312" w:cs="仿宋_GB2312"/>
          <w:b w:val="0"/>
          <w:bCs w:val="0"/>
          <w:color w:val="auto"/>
          <w:sz w:val="32"/>
          <w:szCs w:val="32"/>
          <w:lang w:val="en-US" w:eastAsia="zh-CN"/>
        </w:rPr>
        <w:t>营造一流创新生态环境。对重点行业、重点企业实行包容审慎监管，</w:t>
      </w:r>
      <w:r>
        <w:rPr>
          <w:rFonts w:hint="eastAsia" w:ascii="仿宋_GB2312" w:hAnsi="仿宋_GB2312" w:eastAsia="仿宋_GB2312" w:cs="仿宋_GB2312"/>
          <w:b w:val="0"/>
          <w:bCs w:val="0"/>
          <w:color w:val="auto"/>
          <w:sz w:val="32"/>
          <w:szCs w:val="32"/>
        </w:rPr>
        <w:t>积极探索新业态、新模式等创新成果的保护机制</w:t>
      </w:r>
      <w:r>
        <w:rPr>
          <w:rFonts w:hint="eastAsia" w:ascii="仿宋_GB2312" w:hAnsi="仿宋_GB2312" w:eastAsia="仿宋_GB2312" w:cs="仿宋_GB2312"/>
          <w:b w:val="0"/>
          <w:bCs w:val="0"/>
          <w:color w:val="auto"/>
          <w:sz w:val="32"/>
          <w:szCs w:val="32"/>
          <w:lang w:eastAsia="zh-CN"/>
        </w:rPr>
        <w:t>。培育知识产权维权咨询、仲裁调解组织，</w:t>
      </w:r>
      <w:r>
        <w:rPr>
          <w:rFonts w:hint="eastAsia" w:ascii="仿宋_GB2312" w:hAnsi="仿宋_GB2312" w:eastAsia="仿宋_GB2312" w:cs="仿宋_GB2312"/>
          <w:b w:val="0"/>
          <w:bCs w:val="0"/>
          <w:color w:val="auto"/>
          <w:sz w:val="32"/>
          <w:szCs w:val="32"/>
        </w:rPr>
        <w:t>深化知识产权民事</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刑事</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行政案件审判“三合一”和繁简分流等改革，实施</w:t>
      </w:r>
      <w:r>
        <w:rPr>
          <w:rFonts w:hint="eastAsia" w:ascii="仿宋_GB2312" w:hAnsi="仿宋_GB2312" w:eastAsia="仿宋_GB2312" w:cs="仿宋_GB2312"/>
          <w:b w:val="0"/>
          <w:bCs w:val="0"/>
          <w:color w:val="auto"/>
          <w:sz w:val="32"/>
          <w:szCs w:val="32"/>
          <w:lang w:eastAsia="zh-CN"/>
        </w:rPr>
        <w:t>知识产权</w:t>
      </w:r>
      <w:r>
        <w:rPr>
          <w:rFonts w:hint="eastAsia" w:ascii="仿宋_GB2312" w:hAnsi="仿宋_GB2312" w:eastAsia="仿宋_GB2312" w:cs="仿宋_GB2312"/>
          <w:b w:val="0"/>
          <w:bCs w:val="0"/>
          <w:color w:val="auto"/>
          <w:sz w:val="32"/>
          <w:szCs w:val="32"/>
        </w:rPr>
        <w:t>侵权</w:t>
      </w:r>
      <w:r>
        <w:rPr>
          <w:rFonts w:hint="eastAsia" w:ascii="仿宋_GB2312" w:hAnsi="仿宋_GB2312" w:eastAsia="仿宋_GB2312" w:cs="仿宋_GB2312"/>
          <w:b w:val="0"/>
          <w:bCs w:val="0"/>
          <w:color w:val="auto"/>
          <w:sz w:val="32"/>
          <w:szCs w:val="32"/>
          <w:lang w:eastAsia="zh-CN"/>
        </w:rPr>
        <w:t>快速反应机制，推行</w:t>
      </w:r>
      <w:r>
        <w:rPr>
          <w:rFonts w:hint="eastAsia" w:ascii="仿宋_GB2312" w:hAnsi="仿宋_GB2312" w:eastAsia="仿宋_GB2312" w:cs="仿宋_GB2312"/>
          <w:b w:val="0"/>
          <w:bCs w:val="0"/>
          <w:color w:val="auto"/>
          <w:sz w:val="32"/>
          <w:szCs w:val="32"/>
        </w:rPr>
        <w:t>惩罚性赔偿制</w:t>
      </w:r>
      <w:r>
        <w:rPr>
          <w:rFonts w:hint="eastAsia" w:ascii="仿宋_GB2312" w:hAnsi="仿宋_GB2312" w:eastAsia="仿宋_GB2312" w:cs="仿宋_GB2312"/>
          <w:b w:val="0"/>
          <w:bCs w:val="0"/>
          <w:color w:val="auto"/>
          <w:sz w:val="32"/>
          <w:szCs w:val="32"/>
          <w:lang w:eastAsia="zh-CN"/>
        </w:rPr>
        <w:t>度，</w:t>
      </w:r>
      <w:r>
        <w:rPr>
          <w:rFonts w:hint="eastAsia" w:ascii="仿宋_GB2312" w:hAnsi="仿宋_GB2312" w:eastAsia="仿宋_GB2312" w:cs="仿宋_GB2312"/>
          <w:b w:val="0"/>
          <w:bCs w:val="0"/>
          <w:color w:val="auto"/>
          <w:sz w:val="32"/>
          <w:szCs w:val="32"/>
        </w:rPr>
        <w:t>加强知识产权全链条保护</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深入开展知识产权行政执法专项行动，加强电商、专业市场等领域专利行政执法检查力度，加强对商标恶意注册和非正常专利申请等行为的监管。加强展会知识产权保护，提高旅博会、茶博会、药博会、陶博会品牌影响力。构建知识产权协同保护。深化川渝知识产权合作，打造全国重要的知识产权协同创新区。依托川南</w:t>
      </w:r>
      <w:r>
        <w:rPr>
          <w:rFonts w:hint="eastAsia" w:ascii="仿宋_GB2312" w:hAnsi="仿宋_GB2312" w:eastAsia="仿宋_GB2312" w:cs="仿宋_GB2312"/>
          <w:b w:val="0"/>
          <w:bCs w:val="0"/>
          <w:color w:val="auto"/>
          <w:sz w:val="32"/>
          <w:szCs w:val="32"/>
          <w:lang w:eastAsia="zh-CN"/>
        </w:rPr>
        <w:t>五市片</w:t>
      </w:r>
      <w:r>
        <w:rPr>
          <w:rFonts w:hint="eastAsia" w:ascii="仿宋_GB2312" w:hAnsi="仿宋_GB2312" w:eastAsia="仿宋_GB2312" w:cs="仿宋_GB2312"/>
          <w:b w:val="0"/>
          <w:bCs w:val="0"/>
          <w:color w:val="auto"/>
          <w:sz w:val="32"/>
          <w:szCs w:val="32"/>
        </w:rPr>
        <w:t>区</w:t>
      </w:r>
      <w:r>
        <w:rPr>
          <w:rFonts w:hint="eastAsia" w:ascii="仿宋_GB2312" w:hAnsi="仿宋_GB2312" w:eastAsia="仿宋_GB2312" w:cs="仿宋_GB2312"/>
          <w:b w:val="0"/>
          <w:bCs w:val="0"/>
          <w:color w:val="auto"/>
          <w:sz w:val="32"/>
          <w:szCs w:val="32"/>
          <w:lang w:eastAsia="zh-CN"/>
        </w:rPr>
        <w:t>知识产权</w:t>
      </w:r>
      <w:r>
        <w:rPr>
          <w:rFonts w:hint="eastAsia" w:ascii="仿宋_GB2312" w:hAnsi="仿宋_GB2312" w:eastAsia="仿宋_GB2312" w:cs="仿宋_GB2312"/>
          <w:b w:val="0"/>
          <w:bCs w:val="0"/>
          <w:color w:val="auto"/>
          <w:sz w:val="32"/>
          <w:szCs w:val="32"/>
        </w:rPr>
        <w:t>行政执法协作机制，开展信息共享、案件协作、侵权判定咨询等工</w:t>
      </w:r>
      <w:r>
        <w:rPr>
          <w:rFonts w:hint="eastAsia" w:ascii="仿宋_GB2312" w:hAnsi="仿宋_GB2312" w:eastAsia="仿宋_GB2312" w:cs="仿宋_GB2312"/>
          <w:b w:val="0"/>
          <w:bCs w:val="0"/>
          <w:color w:val="auto"/>
          <w:sz w:val="32"/>
          <w:szCs w:val="32"/>
          <w:lang w:eastAsia="zh-CN"/>
        </w:rPr>
        <w:t>作，</w:t>
      </w:r>
      <w:r>
        <w:rPr>
          <w:rFonts w:hint="eastAsia" w:ascii="仿宋_GB2312" w:hAnsi="仿宋_GB2312" w:eastAsia="仿宋_GB2312" w:cs="仿宋_GB2312"/>
          <w:b w:val="0"/>
          <w:bCs w:val="0"/>
          <w:color w:val="auto"/>
          <w:sz w:val="32"/>
          <w:szCs w:val="32"/>
        </w:rPr>
        <w:t>进一步整合知识产权执法资源，开展案件移送、联合办案，增强跨市（州）执法协作能</w:t>
      </w:r>
      <w:r>
        <w:rPr>
          <w:rFonts w:hint="eastAsia" w:ascii="仿宋_GB2312" w:hAnsi="仿宋_GB2312" w:eastAsia="仿宋_GB2312" w:cs="仿宋_GB2312"/>
          <w:b w:val="0"/>
          <w:bCs w:val="0"/>
          <w:color w:val="auto"/>
          <w:sz w:val="32"/>
          <w:szCs w:val="32"/>
          <w:lang w:eastAsia="zh-CN"/>
        </w:rPr>
        <w:t>力。</w:t>
      </w:r>
      <w:r>
        <w:rPr>
          <w:rFonts w:hint="eastAsia" w:ascii="仿宋_GB2312" w:hAnsi="仿宋_GB2312" w:eastAsia="仿宋_GB2312" w:cs="仿宋_GB2312"/>
          <w:b w:val="0"/>
          <w:bCs w:val="0"/>
          <w:color w:val="auto"/>
          <w:sz w:val="32"/>
          <w:szCs w:val="32"/>
        </w:rPr>
        <w:t>健全知识产权信用监管体系，探索建立健全知识产权信用体系建设协同机制；加强信用监管与“双随机、一公开”监管和行政执法有机结合，健全失信联合惩戒机制。</w:t>
      </w:r>
    </w:p>
    <w:tbl>
      <w:tblPr>
        <w:tblStyle w:val="2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pStyle w:val="17"/>
              <w:ind w:firstLine="560"/>
              <w:jc w:val="both"/>
              <w:rPr>
                <w:rFonts w:ascii="楷体" w:hAnsi="楷体" w:eastAsia="楷体" w:cs="楷体"/>
                <w:color w:val="auto"/>
                <w:sz w:val="28"/>
                <w:szCs w:val="28"/>
              </w:rPr>
            </w:pPr>
            <w:r>
              <w:rPr>
                <w:rFonts w:hint="eastAsia" w:eastAsia="黑体"/>
                <w:color w:val="auto"/>
                <w:sz w:val="28"/>
                <w:szCs w:val="28"/>
              </w:rPr>
              <w:t>专栏</w:t>
            </w:r>
            <w:r>
              <w:rPr>
                <w:rFonts w:eastAsia="黑体"/>
                <w:color w:val="auto"/>
                <w:sz w:val="28"/>
                <w:szCs w:val="28"/>
              </w:rPr>
              <w:t>4</w:t>
            </w:r>
            <w:r>
              <w:rPr>
                <w:rFonts w:hint="eastAsia" w:eastAsia="黑体"/>
                <w:color w:val="auto"/>
                <w:sz w:val="28"/>
                <w:szCs w:val="28"/>
                <w:lang w:eastAsia="zh-CN"/>
              </w:rPr>
              <w:t>：</w:t>
            </w:r>
            <w:r>
              <w:rPr>
                <w:rFonts w:hint="eastAsia" w:eastAsia="黑体"/>
                <w:color w:val="auto"/>
                <w:sz w:val="28"/>
                <w:szCs w:val="28"/>
              </w:rPr>
              <w:t>提升知识产权服务水平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pStyle w:val="8"/>
              <w:spacing w:after="0" w:line="580" w:lineRule="exact"/>
              <w:rPr>
                <w:rFonts w:ascii="仿宋_GB2312" w:hAnsi="楷体" w:eastAsia="仿宋_GB2312" w:cs="楷体"/>
                <w:color w:val="auto"/>
                <w:sz w:val="28"/>
                <w:szCs w:val="28"/>
              </w:rPr>
            </w:pPr>
            <w:r>
              <w:rPr>
                <w:rFonts w:hint="eastAsia" w:ascii="仿宋_GB2312" w:hAnsi="楷体" w:eastAsia="仿宋_GB2312" w:cs="楷体"/>
                <w:b/>
                <w:bCs/>
                <w:color w:val="auto"/>
                <w:sz w:val="28"/>
                <w:szCs w:val="28"/>
                <w:lang w:eastAsia="zh-CN"/>
              </w:rPr>
              <w:t>　　</w:t>
            </w:r>
            <w:r>
              <w:rPr>
                <w:rFonts w:hint="eastAsia" w:ascii="仿宋_GB2312" w:hAnsi="楷体" w:eastAsia="仿宋_GB2312" w:cs="楷体"/>
                <w:b/>
                <w:bCs/>
                <w:color w:val="auto"/>
                <w:sz w:val="28"/>
                <w:szCs w:val="28"/>
              </w:rPr>
              <w:t>1.打造乐山知识产权服务业聚集区。</w:t>
            </w:r>
            <w:r>
              <w:rPr>
                <w:rFonts w:hint="eastAsia" w:ascii="仿宋_GB2312" w:hAnsi="楷体" w:eastAsia="仿宋_GB2312" w:cs="楷体"/>
                <w:color w:val="auto"/>
                <w:sz w:val="28"/>
                <w:szCs w:val="28"/>
              </w:rPr>
              <w:t>发挥乐山市高新区产业聚集的优势，打造乐山市知识产权服务业聚集区，构建面向乐山市重点产业的知识产权高端服务体系，打造川南地区知识产权服务业发展高地。</w:t>
            </w:r>
          </w:p>
          <w:p>
            <w:pPr>
              <w:spacing w:line="580" w:lineRule="exact"/>
              <w:rPr>
                <w:rFonts w:hint="eastAsia" w:ascii="仿宋_GB2312" w:hAnsi="楷体" w:eastAsia="仿宋_GB2312" w:cs="楷体"/>
                <w:color w:val="auto"/>
                <w:sz w:val="28"/>
                <w:szCs w:val="28"/>
              </w:rPr>
            </w:pPr>
            <w:r>
              <w:rPr>
                <w:rFonts w:hint="eastAsia" w:ascii="仿宋_GB2312" w:hAnsi="楷体" w:eastAsia="仿宋_GB2312" w:cs="楷体"/>
                <w:b/>
                <w:bCs/>
                <w:color w:val="auto"/>
                <w:sz w:val="28"/>
                <w:szCs w:val="28"/>
                <w:lang w:eastAsia="zh-CN"/>
              </w:rPr>
              <w:t>　　</w:t>
            </w:r>
            <w:r>
              <w:rPr>
                <w:rFonts w:hint="eastAsia" w:ascii="仿宋_GB2312" w:hAnsi="楷体" w:eastAsia="仿宋_GB2312" w:cs="楷体"/>
                <w:b/>
                <w:bCs/>
                <w:color w:val="auto"/>
                <w:sz w:val="28"/>
                <w:szCs w:val="28"/>
              </w:rPr>
              <w:t>2.加快公共服务平台建设。</w:t>
            </w:r>
            <w:r>
              <w:rPr>
                <w:rFonts w:hint="eastAsia" w:ascii="仿宋_GB2312" w:hAnsi="楷体" w:eastAsia="仿宋_GB2312" w:cs="楷体"/>
                <w:color w:val="auto"/>
                <w:sz w:val="28"/>
                <w:szCs w:val="28"/>
              </w:rPr>
              <w:t>健全完善全市知识产权信息公共服务体系，重点在“一总部五基地”打造知识产权“1+N”综合服务平台，</w:t>
            </w:r>
            <w:r>
              <w:rPr>
                <w:rFonts w:hint="eastAsia" w:ascii="仿宋_GB2312" w:hAnsi="仿宋" w:eastAsia="仿宋_GB2312" w:cs="仿宋"/>
                <w:color w:val="auto"/>
                <w:sz w:val="32"/>
                <w:szCs w:val="32"/>
              </w:rPr>
              <w:t>建成四川省专利信息服务乐山市分中心、四川省知识产权公共服务乐山分平台、信息大数据监测系统等</w:t>
            </w:r>
            <w:r>
              <w:rPr>
                <w:rFonts w:hint="eastAsia" w:ascii="仿宋_GB2312" w:hAnsi="楷体" w:eastAsia="仿宋_GB2312" w:cs="楷体"/>
                <w:color w:val="auto"/>
                <w:sz w:val="28"/>
                <w:szCs w:val="28"/>
              </w:rPr>
              <w:t>，强化知识产权信息公共服务多元化供给，在商标、专利、地理标志等多个知识产权类别上开展信息公共服务。</w:t>
            </w:r>
          </w:p>
          <w:p>
            <w:pPr>
              <w:spacing w:line="580" w:lineRule="exact"/>
              <w:rPr>
                <w:rFonts w:ascii="仿宋_GB2312" w:hAnsi="楷体" w:eastAsia="仿宋_GB2312" w:cs="楷体"/>
                <w:color w:val="auto"/>
                <w:sz w:val="28"/>
                <w:szCs w:val="28"/>
              </w:rPr>
            </w:pPr>
            <w:r>
              <w:rPr>
                <w:rFonts w:hint="eastAsia" w:ascii="仿宋_GB2312" w:hAnsi="楷体" w:eastAsia="仿宋_GB2312" w:cs="楷体"/>
                <w:b/>
                <w:bCs/>
                <w:color w:val="auto"/>
                <w:sz w:val="28"/>
                <w:szCs w:val="28"/>
                <w:lang w:eastAsia="zh-CN"/>
              </w:rPr>
              <w:t>　　</w:t>
            </w:r>
            <w:r>
              <w:rPr>
                <w:rFonts w:hint="eastAsia" w:ascii="仿宋_GB2312" w:hAnsi="楷体" w:eastAsia="仿宋_GB2312" w:cs="楷体"/>
                <w:b/>
                <w:bCs/>
                <w:color w:val="auto"/>
                <w:sz w:val="28"/>
                <w:szCs w:val="28"/>
              </w:rPr>
              <w:t>3.知识产权服务体系优化工程。</w:t>
            </w:r>
            <w:r>
              <w:rPr>
                <w:rFonts w:hint="eastAsia" w:ascii="仿宋_GB2312" w:hAnsi="楷体" w:eastAsia="仿宋_GB2312" w:cs="楷体"/>
                <w:color w:val="auto"/>
                <w:sz w:val="28"/>
                <w:szCs w:val="28"/>
              </w:rPr>
              <w:t>培育知识产权代理、咨询、法律、信息、商用化等全链条服务。到2025年，培育一批包括知识产权代理、法律服务、咨询机构等在内的知识产权服务机构，形成支撑乐山创新发展的知识产权服务体系。</w:t>
            </w:r>
          </w:p>
          <w:p>
            <w:pPr>
              <w:spacing w:line="580" w:lineRule="exact"/>
              <w:rPr>
                <w:rFonts w:ascii="仿宋_GB2312" w:hAnsi="楷体" w:eastAsia="仿宋_GB2312" w:cs="楷体"/>
                <w:color w:val="auto"/>
                <w:sz w:val="28"/>
                <w:szCs w:val="28"/>
              </w:rPr>
            </w:pPr>
            <w:r>
              <w:rPr>
                <w:rFonts w:hint="eastAsia" w:ascii="仿宋_GB2312" w:hAnsi="楷体" w:eastAsia="仿宋_GB2312" w:cs="楷体"/>
                <w:b/>
                <w:bCs/>
                <w:color w:val="auto"/>
                <w:sz w:val="28"/>
                <w:szCs w:val="28"/>
                <w:lang w:eastAsia="zh-CN"/>
              </w:rPr>
              <w:t>　　</w:t>
            </w:r>
            <w:r>
              <w:rPr>
                <w:rFonts w:hint="eastAsia" w:ascii="仿宋_GB2312" w:hAnsi="楷体" w:eastAsia="仿宋_GB2312" w:cs="楷体"/>
                <w:b/>
                <w:bCs/>
                <w:color w:val="auto"/>
                <w:sz w:val="28"/>
                <w:szCs w:val="28"/>
              </w:rPr>
              <w:t>4.加强知识产权维权援助服务。</w:t>
            </w:r>
            <w:r>
              <w:rPr>
                <w:rFonts w:hint="eastAsia" w:ascii="仿宋_GB2312" w:hAnsi="楷体" w:eastAsia="仿宋_GB2312" w:cs="楷体"/>
                <w:color w:val="auto"/>
                <w:sz w:val="28"/>
                <w:szCs w:val="28"/>
              </w:rPr>
              <w:t>依托乐山知识产权专家智库建设乐山市知识产权维权援助专家库，采取政府购买服务方式，为企业提供知识产权维权援助服务，支持企业主动维权，维护自身合法权益，年服务企业100家以上。</w:t>
            </w:r>
          </w:p>
        </w:tc>
      </w:tr>
    </w:tbl>
    <w:p>
      <w:pPr>
        <w:ind w:firstLine="640" w:firstLineChars="200"/>
        <w:rPr>
          <w:rFonts w:ascii="仿宋_GB2312" w:hAnsi="仿宋" w:eastAsia="仿宋_GB2312" w:cs="仿宋"/>
          <w:b w:val="0"/>
          <w:bCs w:val="0"/>
          <w:color w:val="auto"/>
          <w:sz w:val="32"/>
          <w:szCs w:val="32"/>
        </w:rPr>
      </w:pPr>
      <w:r>
        <w:rPr>
          <w:rFonts w:hint="eastAsia" w:ascii="仿宋_GB2312" w:hAnsi="仿宋_GB2312" w:eastAsia="仿宋_GB2312" w:cs="仿宋_GB2312"/>
          <w:b w:val="0"/>
          <w:bCs w:val="0"/>
          <w:color w:val="auto"/>
          <w:sz w:val="32"/>
          <w:szCs w:val="32"/>
        </w:rPr>
        <w:t>促进知识产权高质量创造运用。围绕光电信息、先进材料、绿色化工、食品饮料等乐山市重点领域的产业链部署创新链，</w:t>
      </w:r>
      <w:r>
        <w:rPr>
          <w:rFonts w:hint="eastAsia" w:ascii="仿宋_GB2312" w:hAnsi="仿宋_GB2312" w:eastAsia="仿宋_GB2312" w:cs="仿宋_GB2312"/>
          <w:b w:val="0"/>
          <w:bCs w:val="0"/>
          <w:color w:val="auto"/>
          <w:sz w:val="32"/>
          <w:szCs w:val="32"/>
          <w:lang w:eastAsia="zh-CN"/>
        </w:rPr>
        <w:t>培育</w:t>
      </w:r>
      <w:r>
        <w:rPr>
          <w:rFonts w:hint="eastAsia" w:ascii="仿宋_GB2312" w:hAnsi="仿宋_GB2312" w:eastAsia="仿宋_GB2312" w:cs="仿宋_GB2312"/>
          <w:b w:val="0"/>
          <w:bCs w:val="0"/>
          <w:color w:val="auto"/>
          <w:sz w:val="32"/>
          <w:szCs w:val="32"/>
        </w:rPr>
        <w:t>一批关键核心知识产权。</w:t>
      </w:r>
      <w:r>
        <w:rPr>
          <w:rFonts w:hint="eastAsia" w:ascii="仿宋_GB2312" w:hAnsi="仿宋_GB2312" w:eastAsia="仿宋_GB2312" w:cs="仿宋_GB2312"/>
          <w:b w:val="0"/>
          <w:bCs w:val="0"/>
          <w:color w:val="auto"/>
          <w:sz w:val="32"/>
          <w:szCs w:val="32"/>
          <w:lang w:val="en-US" w:eastAsia="zh-CN"/>
        </w:rPr>
        <w:t>开展</w:t>
      </w:r>
      <w:r>
        <w:rPr>
          <w:rFonts w:hint="eastAsia" w:ascii="仿宋_GB2312" w:hAnsi="仿宋_GB2312" w:eastAsia="仿宋_GB2312" w:cs="仿宋_GB2312"/>
          <w:b w:val="0"/>
          <w:bCs w:val="0"/>
          <w:color w:val="auto"/>
          <w:sz w:val="32"/>
          <w:szCs w:val="32"/>
          <w:lang w:eastAsia="zh-CN"/>
        </w:rPr>
        <w:t>硅材料和</w:t>
      </w:r>
      <w:r>
        <w:rPr>
          <w:rFonts w:hint="eastAsia" w:ascii="仿宋_GB2312" w:hAnsi="仿宋_GB2312" w:eastAsia="仿宋_GB2312" w:cs="仿宋_GB2312"/>
          <w:b w:val="0"/>
          <w:bCs w:val="0"/>
          <w:color w:val="auto"/>
          <w:sz w:val="32"/>
          <w:szCs w:val="32"/>
          <w:lang w:val="en-US" w:eastAsia="zh-CN"/>
        </w:rPr>
        <w:t>全钒液流电池等产业专利导航，推进重点产业知识产权联盟建设，</w:t>
      </w:r>
      <w:r>
        <w:rPr>
          <w:rFonts w:hint="eastAsia" w:ascii="仿宋_GB2312" w:hAnsi="仿宋_GB2312" w:eastAsia="仿宋_GB2312" w:cs="仿宋_GB2312"/>
          <w:b w:val="0"/>
          <w:bCs w:val="0"/>
          <w:color w:val="auto"/>
          <w:sz w:val="32"/>
          <w:szCs w:val="32"/>
        </w:rPr>
        <w:t>推进“中国绿色硅谷”创新发展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支持尚纬股份等企业</w:t>
      </w:r>
      <w:r>
        <w:rPr>
          <w:rFonts w:hint="eastAsia" w:ascii="仿宋_GB2312" w:hAnsi="仿宋_GB2312" w:eastAsia="仿宋_GB2312" w:cs="仿宋_GB2312"/>
          <w:b w:val="0"/>
          <w:bCs w:val="0"/>
          <w:color w:val="auto"/>
          <w:sz w:val="32"/>
          <w:szCs w:val="32"/>
          <w:lang w:eastAsia="zh-CN"/>
        </w:rPr>
        <w:t>开展</w:t>
      </w:r>
      <w:r>
        <w:rPr>
          <w:rFonts w:hint="eastAsia" w:ascii="仿宋_GB2312" w:hAnsi="仿宋_GB2312" w:eastAsia="仿宋_GB2312" w:cs="仿宋_GB2312"/>
          <w:b w:val="0"/>
          <w:bCs w:val="0"/>
          <w:color w:val="auto"/>
          <w:sz w:val="32"/>
          <w:szCs w:val="32"/>
        </w:rPr>
        <w:t>高价值专利育成中</w:t>
      </w:r>
      <w:r>
        <w:rPr>
          <w:rFonts w:hint="eastAsia" w:ascii="仿宋_GB2312" w:hAnsi="仿宋_GB2312" w:eastAsia="仿宋_GB2312" w:cs="仿宋_GB2312"/>
          <w:b w:val="0"/>
          <w:bCs w:val="0"/>
          <w:color w:val="auto"/>
          <w:sz w:val="32"/>
          <w:szCs w:val="32"/>
          <w:lang w:eastAsia="zh-CN"/>
        </w:rPr>
        <w:t>心建设，</w:t>
      </w:r>
      <w:r>
        <w:rPr>
          <w:rFonts w:hint="eastAsia" w:ascii="仿宋_GB2312" w:hAnsi="仿宋_GB2312" w:eastAsia="仿宋_GB2312" w:cs="仿宋_GB2312"/>
          <w:b w:val="0"/>
          <w:bCs w:val="0"/>
          <w:color w:val="auto"/>
          <w:sz w:val="32"/>
          <w:szCs w:val="32"/>
        </w:rPr>
        <w:t>培育一批专利布局合理、质量优且引领行业发展的知识产权密集企业，提高企业核心专利产业化水平</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鼓励企业开展知识产权海外布局，推进中欧地理标志保护等国际合作。助力乡村振兴战略发展，</w:t>
      </w:r>
      <w:r>
        <w:rPr>
          <w:rFonts w:hint="eastAsia" w:ascii="仿宋_GB2312" w:hAnsi="仿宋_GB2312" w:eastAsia="仿宋_GB2312" w:cs="仿宋_GB2312"/>
          <w:b w:val="0"/>
          <w:bCs w:val="0"/>
          <w:color w:val="auto"/>
          <w:sz w:val="32"/>
          <w:szCs w:val="32"/>
          <w:lang w:eastAsia="zh-CN"/>
        </w:rPr>
        <w:t>围绕</w:t>
      </w:r>
      <w:r>
        <w:rPr>
          <w:rFonts w:hint="eastAsia" w:ascii="仿宋_GB2312" w:hAnsi="仿宋_GB2312" w:eastAsia="仿宋_GB2312" w:cs="仿宋_GB2312"/>
          <w:b w:val="0"/>
          <w:bCs w:val="0"/>
          <w:color w:val="auto"/>
          <w:sz w:val="32"/>
          <w:szCs w:val="32"/>
        </w:rPr>
        <w:t>茶叶、蔬菜、中药材、优质粮油、林竹等特色农产品</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加强品牌建设，支持企业争创四川省天府质量奖和地理标志保护产品</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推动现代农业提质增效。鼓励企业联合高校院所，瞄准乐</w:t>
      </w:r>
      <w:r>
        <w:rPr>
          <w:rFonts w:hint="eastAsia" w:ascii="仿宋_GB2312" w:hAnsi="仿宋" w:eastAsia="仿宋_GB2312" w:cs="仿宋"/>
          <w:b w:val="0"/>
          <w:bCs w:val="0"/>
          <w:color w:val="auto"/>
          <w:sz w:val="32"/>
          <w:szCs w:val="32"/>
        </w:rPr>
        <w:t>山优势产业，开展集成创新和协同创新，创造一批创新水平高、权利状态稳定、市场竞争力强的高价值专利。知识产权结构得到优化，核心专利、知名品牌、精品版权、优秀集成电路布图设计、优良植物品种权等优质资源大幅增</w:t>
      </w:r>
      <w:r>
        <w:rPr>
          <w:rFonts w:hint="eastAsia" w:ascii="仿宋_GB2312" w:hAnsi="仿宋" w:eastAsia="仿宋_GB2312" w:cs="仿宋"/>
          <w:b w:val="0"/>
          <w:bCs w:val="0"/>
          <w:color w:val="auto"/>
          <w:sz w:val="32"/>
          <w:szCs w:val="32"/>
          <w:lang w:eastAsia="zh-CN"/>
        </w:rPr>
        <w:t>加。</w:t>
      </w:r>
    </w:p>
    <w:tbl>
      <w:tblPr>
        <w:tblStyle w:val="2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9061" w:type="dxa"/>
          </w:tcPr>
          <w:p>
            <w:pPr>
              <w:pStyle w:val="17"/>
              <w:ind w:firstLine="560"/>
              <w:jc w:val="both"/>
              <w:rPr>
                <w:rFonts w:ascii="楷体" w:hAnsi="楷体" w:eastAsia="楷体" w:cs="楷体"/>
                <w:color w:val="auto"/>
                <w:sz w:val="28"/>
                <w:szCs w:val="28"/>
              </w:rPr>
            </w:pPr>
            <w:r>
              <w:rPr>
                <w:rFonts w:hint="eastAsia" w:eastAsia="黑体"/>
                <w:color w:val="auto"/>
                <w:sz w:val="28"/>
                <w:szCs w:val="28"/>
              </w:rPr>
              <w:t>专栏</w:t>
            </w:r>
            <w:r>
              <w:rPr>
                <w:rFonts w:eastAsia="黑体"/>
                <w:color w:val="auto"/>
                <w:sz w:val="28"/>
                <w:szCs w:val="28"/>
              </w:rPr>
              <w:t>5</w:t>
            </w:r>
            <w:r>
              <w:rPr>
                <w:rFonts w:hint="eastAsia" w:eastAsia="黑体"/>
                <w:color w:val="auto"/>
                <w:sz w:val="28"/>
                <w:szCs w:val="28"/>
                <w:lang w:eastAsia="zh-CN"/>
              </w:rPr>
              <w:t>：</w:t>
            </w:r>
            <w:r>
              <w:rPr>
                <w:rFonts w:hint="eastAsia" w:eastAsia="黑体"/>
                <w:color w:val="auto"/>
                <w:sz w:val="28"/>
                <w:szCs w:val="28"/>
              </w:rPr>
              <w:t>构建高价值知识产权培育体系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pStyle w:val="8"/>
              <w:spacing w:after="0" w:line="580" w:lineRule="exact"/>
              <w:rPr>
                <w:rFonts w:ascii="仿宋_GB2312" w:hAnsi="楷体" w:eastAsia="仿宋_GB2312" w:cs="楷体"/>
                <w:color w:val="auto"/>
                <w:sz w:val="28"/>
                <w:szCs w:val="28"/>
              </w:rPr>
            </w:pPr>
            <w:r>
              <w:rPr>
                <w:rFonts w:hint="eastAsia" w:ascii="仿宋_GB2312" w:hAnsi="楷体" w:eastAsia="仿宋_GB2312" w:cs="楷体"/>
                <w:b/>
                <w:bCs/>
                <w:color w:val="auto"/>
                <w:sz w:val="28"/>
                <w:szCs w:val="28"/>
                <w:lang w:eastAsia="zh-CN"/>
              </w:rPr>
              <w:t>　　</w:t>
            </w:r>
            <w:r>
              <w:rPr>
                <w:rFonts w:hint="eastAsia" w:ascii="仿宋_GB2312" w:hAnsi="楷体" w:eastAsia="仿宋_GB2312" w:cs="楷体"/>
                <w:b/>
                <w:bCs/>
                <w:color w:val="auto"/>
                <w:sz w:val="28"/>
                <w:szCs w:val="28"/>
              </w:rPr>
              <w:t>1.实施专利导航工程。</w:t>
            </w:r>
            <w:r>
              <w:rPr>
                <w:rFonts w:hint="eastAsia" w:ascii="仿宋_GB2312" w:hAnsi="楷体" w:eastAsia="仿宋_GB2312" w:cs="楷体"/>
                <w:color w:val="auto"/>
                <w:sz w:val="28"/>
                <w:szCs w:val="28"/>
              </w:rPr>
              <w:t>推动专利导航和微导航工作，在光电信息、先进材料、绿色化工、食品饮料等乐山市重点产业领域公开遴选一批企业运营类专利导航项目，</w:t>
            </w:r>
            <w:r>
              <w:rPr>
                <w:rFonts w:hint="eastAsia" w:ascii="仿宋_GB2312" w:hAnsi="楷体" w:eastAsia="仿宋_GB2312" w:cs="楷体"/>
                <w:color w:val="auto"/>
                <w:sz w:val="28"/>
                <w:szCs w:val="28"/>
                <w:lang w:eastAsia="zh-CN"/>
              </w:rPr>
              <w:t>重点</w:t>
            </w:r>
            <w:r>
              <w:rPr>
                <w:rFonts w:hint="eastAsia" w:ascii="仿宋_GB2312" w:hAnsi="楷体" w:eastAsia="仿宋_GB2312" w:cs="楷体"/>
                <w:color w:val="auto"/>
                <w:sz w:val="28"/>
                <w:szCs w:val="28"/>
                <w:lang w:val="en-US" w:eastAsia="zh-CN"/>
              </w:rPr>
              <w:t>开展</w:t>
            </w:r>
            <w:r>
              <w:rPr>
                <w:rFonts w:hint="eastAsia" w:ascii="仿宋_GB2312" w:hAnsi="楷体" w:eastAsia="仿宋_GB2312" w:cs="楷体"/>
                <w:color w:val="auto"/>
                <w:sz w:val="28"/>
                <w:szCs w:val="28"/>
                <w:lang w:eastAsia="zh-CN"/>
              </w:rPr>
              <w:t>硅材料和</w:t>
            </w:r>
            <w:r>
              <w:rPr>
                <w:rFonts w:hint="eastAsia" w:ascii="仿宋_GB2312" w:hAnsi="楷体" w:eastAsia="仿宋_GB2312" w:cs="楷体"/>
                <w:color w:val="auto"/>
                <w:sz w:val="28"/>
                <w:szCs w:val="28"/>
                <w:lang w:val="en-US" w:eastAsia="zh-CN"/>
              </w:rPr>
              <w:t>全钒液流电池等产业专利导航，</w:t>
            </w:r>
            <w:r>
              <w:rPr>
                <w:rFonts w:hint="eastAsia" w:ascii="仿宋_GB2312" w:hAnsi="楷体" w:eastAsia="仿宋_GB2312" w:cs="楷体"/>
                <w:color w:val="auto"/>
                <w:sz w:val="28"/>
                <w:szCs w:val="28"/>
              </w:rPr>
              <w:t>培育一批专利布局合理、质量优且引领行业发展的知识产权密集企业。</w:t>
            </w:r>
          </w:p>
          <w:p>
            <w:pPr>
              <w:pStyle w:val="8"/>
              <w:spacing w:after="0" w:line="580" w:lineRule="exact"/>
              <w:rPr>
                <w:rFonts w:ascii="仿宋_GB2312" w:eastAsia="仿宋_GB2312"/>
                <w:color w:val="auto"/>
                <w:sz w:val="28"/>
                <w:szCs w:val="28"/>
              </w:rPr>
            </w:pPr>
            <w:r>
              <w:rPr>
                <w:rFonts w:hint="eastAsia" w:ascii="仿宋_GB2312" w:hAnsi="楷体" w:eastAsia="仿宋_GB2312" w:cs="楷体"/>
                <w:b/>
                <w:bCs/>
                <w:color w:val="auto"/>
                <w:sz w:val="28"/>
                <w:szCs w:val="28"/>
                <w:lang w:eastAsia="zh-CN"/>
              </w:rPr>
              <w:t>　　</w:t>
            </w:r>
            <w:r>
              <w:rPr>
                <w:rFonts w:hint="eastAsia" w:ascii="仿宋_GB2312" w:hAnsi="楷体" w:eastAsia="仿宋_GB2312" w:cs="楷体"/>
                <w:b/>
                <w:bCs/>
                <w:color w:val="auto"/>
                <w:sz w:val="28"/>
                <w:szCs w:val="28"/>
              </w:rPr>
              <w:t>2.实施专利布局工程。</w:t>
            </w:r>
            <w:r>
              <w:rPr>
                <w:rFonts w:hint="eastAsia" w:ascii="仿宋_GB2312" w:hAnsi="楷体" w:eastAsia="仿宋_GB2312" w:cs="楷体"/>
                <w:color w:val="auto"/>
                <w:sz w:val="28"/>
                <w:szCs w:val="28"/>
              </w:rPr>
              <w:t>推动光电信息、先进材料、绿色化工以及食品饮料等重点产业开展技术创新、产品创新、组织创新和商业模式创新，指导开展专利布局和预警分析，引导和支撑产业科学发展。</w:t>
            </w:r>
          </w:p>
          <w:p>
            <w:pPr>
              <w:pStyle w:val="8"/>
              <w:spacing w:after="0" w:line="580" w:lineRule="exact"/>
              <w:rPr>
                <w:color w:val="auto"/>
                <w:sz w:val="28"/>
                <w:szCs w:val="28"/>
              </w:rPr>
            </w:pPr>
            <w:r>
              <w:rPr>
                <w:rFonts w:hint="eastAsia" w:ascii="仿宋_GB2312" w:hAnsi="楷体" w:eastAsia="仿宋_GB2312" w:cs="楷体"/>
                <w:b/>
                <w:bCs/>
                <w:color w:val="auto"/>
                <w:sz w:val="28"/>
                <w:szCs w:val="28"/>
                <w:lang w:eastAsia="zh-CN"/>
              </w:rPr>
              <w:t>　　</w:t>
            </w:r>
            <w:r>
              <w:rPr>
                <w:rFonts w:hint="eastAsia" w:ascii="仿宋_GB2312" w:hAnsi="楷体" w:eastAsia="仿宋_GB2312" w:cs="楷体"/>
                <w:b/>
                <w:bCs/>
                <w:color w:val="auto"/>
                <w:sz w:val="28"/>
                <w:szCs w:val="28"/>
              </w:rPr>
              <w:t>3.实施知识产权强企工程。</w:t>
            </w:r>
            <w:r>
              <w:rPr>
                <w:rFonts w:hint="eastAsia" w:ascii="仿宋_GB2312" w:hAnsi="楷体" w:eastAsia="仿宋_GB2312" w:cs="楷体"/>
                <w:color w:val="auto"/>
                <w:sz w:val="28"/>
                <w:szCs w:val="28"/>
              </w:rPr>
              <w:t>在乐山市高新区总部经济功能区、五通桥绿色循环产业基地、峨眉山市食品饮料产业基地、犍为装备制造产业基地、夹江民用核技术产业基地、沙湾冶金建材产业基地等产业聚集区建立知识产权战略实施体系</w:t>
            </w:r>
            <w:r>
              <w:rPr>
                <w:rFonts w:hint="eastAsia" w:ascii="仿宋_GB2312" w:hAnsi="楷体" w:eastAsia="仿宋_GB2312" w:cs="楷体"/>
                <w:color w:val="auto"/>
                <w:sz w:val="28"/>
                <w:szCs w:val="28"/>
                <w:lang w:eastAsia="zh-CN"/>
              </w:rPr>
              <w:t>。</w:t>
            </w:r>
            <w:r>
              <w:rPr>
                <w:rFonts w:hint="eastAsia" w:ascii="仿宋_GB2312" w:hAnsi="楷体" w:eastAsia="仿宋_GB2312" w:cs="楷体"/>
                <w:color w:val="auto"/>
                <w:sz w:val="28"/>
                <w:szCs w:val="28"/>
              </w:rPr>
              <w:t>引导企业开展贯标认证</w:t>
            </w:r>
            <w:r>
              <w:rPr>
                <w:rFonts w:hint="eastAsia" w:ascii="仿宋_GB2312" w:hAnsi="楷体" w:eastAsia="仿宋_GB2312" w:cs="楷体"/>
                <w:color w:val="auto"/>
                <w:sz w:val="28"/>
                <w:szCs w:val="28"/>
                <w:lang w:eastAsia="zh-CN"/>
              </w:rPr>
              <w:t>，</w:t>
            </w:r>
            <w:r>
              <w:rPr>
                <w:rFonts w:hint="eastAsia" w:ascii="仿宋_GB2312" w:hAnsi="楷体" w:eastAsia="仿宋_GB2312" w:cs="楷体"/>
                <w:color w:val="auto"/>
                <w:sz w:val="28"/>
                <w:szCs w:val="28"/>
              </w:rPr>
              <w:t>鼓励各企业开展通过集成创新、消化吸收再创新，加强企业运用知识产权对产品和技术进行改进。支持企业实施知识产权战略</w:t>
            </w:r>
            <w:r>
              <w:rPr>
                <w:rFonts w:hint="eastAsia" w:ascii="仿宋_GB2312" w:hAnsi="楷体" w:eastAsia="仿宋_GB2312" w:cs="楷体"/>
                <w:color w:val="auto"/>
                <w:sz w:val="28"/>
                <w:szCs w:val="28"/>
                <w:lang w:eastAsia="zh-CN"/>
              </w:rPr>
              <w:t>，到</w:t>
            </w:r>
            <w:r>
              <w:rPr>
                <w:rFonts w:hint="eastAsia" w:ascii="仿宋_GB2312" w:hAnsi="楷体" w:eastAsia="仿宋_GB2312" w:cs="楷体"/>
                <w:color w:val="auto"/>
                <w:sz w:val="28"/>
                <w:szCs w:val="28"/>
                <w:lang w:val="en-US" w:eastAsia="zh-CN"/>
              </w:rPr>
              <w:t>2025年，</w:t>
            </w:r>
            <w:r>
              <w:rPr>
                <w:rFonts w:hint="eastAsia" w:ascii="仿宋_GB2312" w:hAnsi="楷体" w:eastAsia="仿宋_GB2312" w:cs="楷体"/>
                <w:color w:val="auto"/>
                <w:sz w:val="28"/>
                <w:szCs w:val="28"/>
              </w:rPr>
              <w:t>培育国家、省、市级知识产权示范、优势企业50家以上</w:t>
            </w:r>
            <w:r>
              <w:rPr>
                <w:rFonts w:hint="eastAsia" w:ascii="仿宋_GB2312" w:hAnsi="楷体" w:eastAsia="仿宋_GB2312" w:cs="楷体"/>
                <w:color w:val="auto"/>
                <w:sz w:val="28"/>
                <w:szCs w:val="28"/>
                <w:lang w:eastAsia="zh-CN"/>
              </w:rPr>
              <w:t>。</w:t>
            </w:r>
          </w:p>
        </w:tc>
      </w:tr>
    </w:tbl>
    <w:p>
      <w:pPr>
        <w:pStyle w:val="31"/>
        <w:spacing w:line="240" w:lineRule="exact"/>
        <w:ind w:left="420" w:firstLine="0" w:firstLineChars="0"/>
        <w:rPr>
          <w:rFonts w:ascii="仿宋" w:hAnsi="仿宋" w:eastAsia="仿宋" w:cs="仿宋"/>
          <w:color w:val="auto"/>
          <w:sz w:val="32"/>
          <w:szCs w:val="32"/>
        </w:rPr>
      </w:pPr>
    </w:p>
    <w:p>
      <w:pPr>
        <w:pStyle w:val="5"/>
        <w:numPr>
          <w:ilvl w:val="0"/>
          <w:numId w:val="1"/>
        </w:numPr>
        <w:ind w:left="-13" w:leftChars="0" w:firstLineChars="0"/>
        <w:jc w:val="center"/>
        <w:rPr>
          <w:rFonts w:ascii="Times New Roman" w:hAnsi="Times New Roman" w:eastAsia="楷体_GB2312" w:cs="Times New Roman"/>
          <w:snapToGrid w:val="0"/>
          <w:color w:val="auto"/>
          <w:kern w:val="0"/>
        </w:rPr>
      </w:pPr>
      <w:bookmarkStart w:id="35" w:name="_Toc77261196"/>
      <w:r>
        <w:rPr>
          <w:rFonts w:hint="eastAsia" w:ascii="Times New Roman" w:hAnsi="Times New Roman" w:eastAsia="楷体_GB2312" w:cs="Times New Roman"/>
          <w:snapToGrid w:val="0"/>
          <w:color w:val="auto"/>
          <w:kern w:val="0"/>
        </w:rPr>
        <w:t>市场安全攻坚工程</w:t>
      </w:r>
      <w:bookmarkEnd w:id="35"/>
    </w:p>
    <w:p>
      <w:pPr>
        <w:pStyle w:val="8"/>
        <w:spacing w:line="240" w:lineRule="auto"/>
        <w:ind w:firstLine="640" w:firstLineChars="200"/>
        <w:rPr>
          <w:rFonts w:hint="eastAsia" w:ascii="Times New Roman" w:hAnsi="Times New Roman" w:eastAsia="仿宋_GB2312"/>
          <w:snapToGrid w:val="0"/>
          <w:color w:val="auto"/>
          <w:kern w:val="0"/>
          <w:sz w:val="32"/>
          <w:szCs w:val="32"/>
          <w:lang w:eastAsia="zh-CN"/>
        </w:rPr>
      </w:pPr>
      <w:r>
        <w:rPr>
          <w:rFonts w:hint="eastAsia" w:ascii="Times New Roman" w:hAnsi="Times New Roman" w:eastAsia="仿宋_GB2312"/>
          <w:snapToGrid w:val="0"/>
          <w:color w:val="auto"/>
          <w:kern w:val="0"/>
          <w:sz w:val="32"/>
          <w:szCs w:val="32"/>
        </w:rPr>
        <w:t>坚持以人民为中心，突出食品、药品、特种设备、产品质量安全监管，</w:t>
      </w:r>
      <w:r>
        <w:rPr>
          <w:rFonts w:hint="eastAsia" w:ascii="Times New Roman" w:hAnsi="Times New Roman" w:eastAsia="仿宋_GB2312"/>
          <w:snapToGrid w:val="0"/>
          <w:color w:val="auto"/>
          <w:kern w:val="0"/>
          <w:sz w:val="32"/>
          <w:szCs w:val="32"/>
          <w:lang w:eastAsia="zh-CN"/>
        </w:rPr>
        <w:t>建立</w:t>
      </w:r>
      <w:r>
        <w:rPr>
          <w:rFonts w:hint="eastAsia" w:ascii="Times New Roman" w:hAnsi="Times New Roman" w:eastAsia="仿宋_GB2312"/>
          <w:snapToGrid w:val="0"/>
          <w:color w:val="auto"/>
          <w:kern w:val="0"/>
          <w:sz w:val="32"/>
          <w:szCs w:val="32"/>
        </w:rPr>
        <w:t>健全重点安全领域监管机制，防范化解风险</w:t>
      </w:r>
      <w:r>
        <w:rPr>
          <w:rFonts w:hint="eastAsia" w:ascii="Times New Roman" w:hAnsi="Times New Roman" w:eastAsia="仿宋_GB2312"/>
          <w:snapToGrid w:val="0"/>
          <w:color w:val="auto"/>
          <w:kern w:val="0"/>
          <w:sz w:val="32"/>
          <w:szCs w:val="32"/>
          <w:lang w:eastAsia="zh-CN"/>
        </w:rPr>
        <w:t>隐患</w:t>
      </w:r>
      <w:r>
        <w:rPr>
          <w:rFonts w:hint="eastAsia" w:ascii="Times New Roman" w:hAnsi="Times New Roman" w:eastAsia="仿宋_GB2312"/>
          <w:snapToGrid w:val="0"/>
          <w:color w:val="auto"/>
          <w:kern w:val="0"/>
          <w:sz w:val="32"/>
          <w:szCs w:val="32"/>
        </w:rPr>
        <w:t>，</w:t>
      </w:r>
      <w:r>
        <w:rPr>
          <w:rFonts w:hint="eastAsia" w:ascii="Times New Roman" w:hAnsi="Times New Roman" w:eastAsia="仿宋_GB2312"/>
          <w:snapToGrid w:val="0"/>
          <w:color w:val="auto"/>
          <w:kern w:val="0"/>
          <w:sz w:val="32"/>
          <w:szCs w:val="32"/>
          <w:lang w:eastAsia="zh-CN"/>
        </w:rPr>
        <w:t>创新</w:t>
      </w:r>
      <w:r>
        <w:rPr>
          <w:rFonts w:hint="eastAsia" w:ascii="Times New Roman" w:hAnsi="Times New Roman" w:eastAsia="仿宋_GB2312"/>
          <w:snapToGrid w:val="0"/>
          <w:color w:val="auto"/>
          <w:kern w:val="0"/>
          <w:sz w:val="32"/>
          <w:szCs w:val="32"/>
        </w:rPr>
        <w:t>手段</w:t>
      </w:r>
      <w:r>
        <w:rPr>
          <w:rFonts w:hint="eastAsia" w:ascii="Times New Roman" w:hAnsi="Times New Roman" w:eastAsia="仿宋_GB2312"/>
          <w:snapToGrid w:val="0"/>
          <w:color w:val="auto"/>
          <w:kern w:val="0"/>
          <w:sz w:val="32"/>
          <w:szCs w:val="32"/>
          <w:lang w:eastAsia="zh-CN"/>
        </w:rPr>
        <w:t>方式</w:t>
      </w:r>
      <w:r>
        <w:rPr>
          <w:rFonts w:hint="eastAsia" w:ascii="Times New Roman" w:hAnsi="Times New Roman" w:eastAsia="仿宋_GB2312"/>
          <w:snapToGrid w:val="0"/>
          <w:color w:val="auto"/>
          <w:kern w:val="0"/>
          <w:sz w:val="32"/>
          <w:szCs w:val="32"/>
        </w:rPr>
        <w:t>，</w:t>
      </w:r>
      <w:r>
        <w:rPr>
          <w:rFonts w:hint="eastAsia" w:ascii="Times New Roman" w:hAnsi="Times New Roman" w:eastAsia="仿宋_GB2312"/>
          <w:snapToGrid w:val="0"/>
          <w:color w:val="auto"/>
          <w:kern w:val="0"/>
          <w:sz w:val="32"/>
          <w:szCs w:val="32"/>
          <w:lang w:eastAsia="zh-CN"/>
        </w:rPr>
        <w:t>健全制度机制，</w:t>
      </w:r>
      <w:r>
        <w:rPr>
          <w:rFonts w:hint="eastAsia" w:ascii="Times New Roman" w:hAnsi="Times New Roman" w:eastAsia="仿宋_GB2312"/>
          <w:snapToGrid w:val="0"/>
          <w:color w:val="auto"/>
          <w:kern w:val="0"/>
          <w:sz w:val="32"/>
          <w:szCs w:val="32"/>
        </w:rPr>
        <w:t>坚守市场安全底线</w:t>
      </w:r>
      <w:r>
        <w:rPr>
          <w:rFonts w:hint="eastAsia" w:ascii="Times New Roman" w:hAnsi="Times New Roman" w:eastAsia="仿宋_GB2312"/>
          <w:snapToGrid w:val="0"/>
          <w:color w:val="auto"/>
          <w:kern w:val="0"/>
          <w:sz w:val="32"/>
          <w:szCs w:val="32"/>
          <w:lang w:eastAsia="zh-CN"/>
        </w:rPr>
        <w:t>。</w:t>
      </w:r>
    </w:p>
    <w:p>
      <w:pPr>
        <w:pStyle w:val="36"/>
        <w:ind w:firstLine="518" w:firstLineChars="162"/>
        <w:jc w:val="both"/>
        <w:outlineLvl w:val="2"/>
        <w:rPr>
          <w:rFonts w:hint="eastAsia" w:ascii="黑体" w:hAnsi="黑体" w:eastAsia="黑体" w:cs="黑体"/>
          <w:b w:val="0"/>
          <w:bCs w:val="0"/>
          <w:snapToGrid w:val="0"/>
          <w:color w:val="auto"/>
          <w:lang w:bidi="ar"/>
        </w:rPr>
      </w:pPr>
      <w:bookmarkStart w:id="36" w:name="_Toc77261197"/>
      <w:r>
        <w:rPr>
          <w:rFonts w:hint="eastAsia" w:ascii="黑体" w:hAnsi="黑体" w:eastAsia="黑体" w:cs="黑体"/>
          <w:b w:val="0"/>
          <w:bCs w:val="0"/>
          <w:snapToGrid w:val="0"/>
          <w:color w:val="auto"/>
          <w:lang w:eastAsia="zh-CN" w:bidi="ar"/>
        </w:rPr>
        <w:t>一、</w:t>
      </w:r>
      <w:r>
        <w:rPr>
          <w:rFonts w:hint="eastAsia" w:ascii="黑体" w:hAnsi="黑体" w:eastAsia="黑体" w:cs="黑体"/>
          <w:b w:val="0"/>
          <w:bCs w:val="0"/>
          <w:snapToGrid w:val="0"/>
          <w:color w:val="auto"/>
          <w:lang w:bidi="ar"/>
        </w:rPr>
        <w:t>加强食品安全监管</w:t>
      </w:r>
      <w:bookmarkEnd w:id="36"/>
      <w:bookmarkStart w:id="37" w:name="_Toc75794444"/>
      <w:bookmarkStart w:id="38" w:name="_Toc75794344"/>
    </w:p>
    <w:p>
      <w:pPr>
        <w:pStyle w:val="36"/>
        <w:ind w:firstLine="640"/>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snapToGrid w:val="0"/>
          <w:color w:val="auto"/>
        </w:rPr>
        <w:t>严格落实食品安全各方责任。坚持食品安全党政同责，压紧压实属地管理责任，完善发挥食品安全党政同责考评机制作用。持续开展“双安双创”活动，积极</w:t>
      </w:r>
      <w:r>
        <w:rPr>
          <w:rFonts w:hint="eastAsia" w:ascii="仿宋_GB2312" w:hAnsi="仿宋_GB2312" w:eastAsia="仿宋_GB2312" w:cs="仿宋_GB2312"/>
          <w:b w:val="0"/>
          <w:bCs w:val="0"/>
          <w:color w:val="auto"/>
        </w:rPr>
        <w:t>争创国家食品安全示范城市</w:t>
      </w:r>
      <w:r>
        <w:rPr>
          <w:rFonts w:hint="eastAsia" w:ascii="仿宋_GB2312" w:hAnsi="仿宋_GB2312" w:eastAsia="仿宋_GB2312" w:cs="仿宋_GB2312"/>
          <w:b w:val="0"/>
          <w:bCs w:val="0"/>
          <w:snapToGrid w:val="0"/>
          <w:color w:val="auto"/>
          <w:lang w:eastAsia="zh-CN"/>
        </w:rPr>
        <w:t>、</w:t>
      </w:r>
      <w:r>
        <w:rPr>
          <w:rFonts w:hint="eastAsia" w:ascii="仿宋_GB2312" w:hAnsi="仿宋_GB2312" w:eastAsia="仿宋_GB2312" w:cs="仿宋_GB2312"/>
          <w:b w:val="0"/>
          <w:bCs w:val="0"/>
          <w:snapToGrid w:val="0"/>
          <w:color w:val="auto"/>
        </w:rPr>
        <w:t>省级食品安全示范县（市</w:t>
      </w:r>
      <w:r>
        <w:rPr>
          <w:rFonts w:hint="eastAsia" w:ascii="仿宋_GB2312" w:hAnsi="仿宋_GB2312" w:eastAsia="仿宋_GB2312" w:cs="仿宋_GB2312"/>
          <w:b w:val="0"/>
          <w:bCs w:val="0"/>
          <w:snapToGrid w:val="0"/>
          <w:color w:val="auto"/>
          <w:lang w:eastAsia="zh-CN"/>
        </w:rPr>
        <w:t>、区</w:t>
      </w:r>
      <w:r>
        <w:rPr>
          <w:rFonts w:hint="eastAsia" w:ascii="仿宋_GB2312" w:hAnsi="仿宋_GB2312" w:eastAsia="仿宋_GB2312" w:cs="仿宋_GB2312"/>
          <w:b w:val="0"/>
          <w:bCs w:val="0"/>
          <w:snapToGrid w:val="0"/>
          <w:color w:val="auto"/>
        </w:rPr>
        <w:t>），积极引导创建市级食品安全示范县（市</w:t>
      </w:r>
      <w:r>
        <w:rPr>
          <w:rFonts w:hint="eastAsia" w:ascii="仿宋_GB2312" w:hAnsi="仿宋_GB2312" w:eastAsia="仿宋_GB2312" w:cs="仿宋_GB2312"/>
          <w:b w:val="0"/>
          <w:bCs w:val="0"/>
          <w:snapToGrid w:val="0"/>
          <w:color w:val="auto"/>
          <w:lang w:eastAsia="zh-CN"/>
        </w:rPr>
        <w:t>、区</w:t>
      </w:r>
      <w:r>
        <w:rPr>
          <w:rFonts w:hint="eastAsia" w:ascii="仿宋_GB2312" w:hAnsi="仿宋_GB2312" w:eastAsia="仿宋_GB2312" w:cs="仿宋_GB2312"/>
          <w:b w:val="0"/>
          <w:bCs w:val="0"/>
          <w:snapToGrid w:val="0"/>
          <w:color w:val="auto"/>
        </w:rPr>
        <w:t>），形成全域创建良好格局。落实食品生产经营者主体责任，强化生产经营过程控制，建立食品安全追溯体系，积极投保食品安全责任保险。强化部门监管和行业主管责任，厘清监管权责边界，充分发挥食品安全委员会及其办公室综合协调作用，加强食品安全形势分析，及时研究部署食品安全工作。</w:t>
      </w:r>
      <w:r>
        <w:rPr>
          <w:rFonts w:hint="eastAsia" w:ascii="仿宋_GB2312" w:hAnsi="仿宋_GB2312" w:eastAsia="仿宋_GB2312" w:cs="仿宋_GB2312"/>
          <w:b w:val="0"/>
          <w:bCs w:val="0"/>
          <w:color w:val="auto"/>
        </w:rPr>
        <w:t>开展基层食安办规范化建设，努力建设责任到位、制度健全、保障有力、运行高效的基层食安办。广泛开展科普宣传教育，打造全媒体科普宣传矩阵，加强食品安全谣言治理，建设食品安全科普宣传站。落实社会各方共治责任，推进食品安全社区共治，扩大专兼职食品安全信息员（协管员）队伍，完善投诉举报体系和奖励制度，构建食品安全社会共治格局。深入实施食品安全满意度提升行动，不断提升群众食品安全满意度。</w:t>
      </w:r>
    </w:p>
    <w:p>
      <w:pPr>
        <w:pStyle w:val="36"/>
        <w:ind w:firstLine="640"/>
        <w:jc w:val="both"/>
        <w:rPr>
          <w:rFonts w:hint="eastAsia" w:ascii="仿宋_GB2312" w:hAnsi="仿宋_GB2312" w:eastAsia="仿宋_GB2312" w:cs="仿宋_GB2312"/>
          <w:b w:val="0"/>
          <w:bCs w:val="0"/>
          <w:snapToGrid w:val="0"/>
          <w:color w:val="auto"/>
        </w:rPr>
      </w:pPr>
      <w:r>
        <w:rPr>
          <w:rFonts w:hint="eastAsia" w:ascii="仿宋_GB2312" w:hAnsi="仿宋_GB2312" w:eastAsia="仿宋_GB2312" w:cs="仿宋_GB2312"/>
          <w:b w:val="0"/>
          <w:bCs w:val="0"/>
          <w:snapToGrid w:val="0"/>
          <w:color w:val="auto"/>
        </w:rPr>
        <w:t>严格食品安全源头监管。食安委成员单位按各自职能职责严把食品产地环境安全关，强化土壤污染管控和修复，开展重点地区涉重金属行业污染土壤风险排查和整治。实施耕地环境治理保护重大工程。加强流域水污染防治工作。严格执行农药兽药、饲料添加剂等农业投入品生产和使用规定，严格落实定点经营和实名购买制度。提高粮食收储质量，防止不符合食品安全标准的粮食流入口粮市场和食品生产企业。加强进口食品安全监管，严防输入型食品安全风险。</w:t>
      </w:r>
    </w:p>
    <w:p>
      <w:pPr>
        <w:pStyle w:val="36"/>
        <w:ind w:firstLine="640"/>
        <w:jc w:val="both"/>
        <w:rPr>
          <w:rFonts w:hint="eastAsia" w:ascii="仿宋_GB2312" w:hAnsi="仿宋_GB2312" w:eastAsia="仿宋_GB2312" w:cs="仿宋_GB2312"/>
          <w:b w:val="0"/>
          <w:bCs w:val="0"/>
          <w:snapToGrid w:val="0"/>
          <w:color w:val="auto"/>
        </w:rPr>
      </w:pPr>
      <w:r>
        <w:rPr>
          <w:rFonts w:hint="eastAsia" w:ascii="仿宋_GB2312" w:hAnsi="仿宋_GB2312" w:eastAsia="仿宋_GB2312" w:cs="仿宋_GB2312"/>
          <w:b w:val="0"/>
          <w:bCs w:val="0"/>
          <w:snapToGrid w:val="0"/>
          <w:color w:val="auto"/>
        </w:rPr>
        <w:t>严格食品生产经营安全监管。推动规上食品生产企业建立和实施危害分析和关键控制点体系（HACCP），指导重点食品生产企业完善信息化追溯体系。支持饮料、茶叶等特色食品产业集群发展，开设企业许可绿色通道和跟踪服务渠道。加强乳制品、肉制品、保健食品、茶叶、调味品等重点品种监管。持续加大问题企业飞行检查力度。深入开展校园食品安全守护行动、农村食品安全治理、小作坊治理提升、网络餐饮服务专项行动、母婴用品店特殊食品经营规范经营行动，深化白酒品质提升工程。</w:t>
      </w:r>
      <w:r>
        <w:rPr>
          <w:rFonts w:hint="eastAsia" w:ascii="仿宋_GB2312" w:hAnsi="仿宋_GB2312" w:eastAsia="仿宋_GB2312" w:cs="仿宋_GB2312"/>
          <w:b w:val="0"/>
          <w:bCs w:val="0"/>
          <w:snapToGrid w:val="0"/>
          <w:color w:val="auto"/>
          <w:lang w:eastAsia="zh-CN"/>
        </w:rPr>
        <w:t>加快食品安全智慧监管平台建设进程</w:t>
      </w:r>
      <w:r>
        <w:rPr>
          <w:rFonts w:hint="eastAsia" w:ascii="仿宋_GB2312" w:hAnsi="仿宋_GB2312" w:eastAsia="仿宋_GB2312" w:cs="仿宋_GB2312"/>
          <w:b w:val="0"/>
          <w:bCs w:val="0"/>
          <w:snapToGrid w:val="0"/>
          <w:color w:val="auto"/>
        </w:rPr>
        <w:t>，扩大学校食堂“互联网+明厨亮灶”覆盖。推进冷链物流疫情防控，推进农产品市场规范化建设，完善分级分类管理制度，开展“智慧农产品市场”试点。开展放心食品超市自我承诺活动。</w:t>
      </w:r>
    </w:p>
    <w:p>
      <w:pPr>
        <w:pStyle w:val="36"/>
        <w:ind w:firstLine="640"/>
        <w:jc w:val="both"/>
        <w:rPr>
          <w:rFonts w:hint="eastAsia" w:ascii="仿宋_GB2312" w:hAnsi="仿宋_GB2312" w:eastAsia="仿宋_GB2312" w:cs="仿宋_GB2312"/>
          <w:b w:val="0"/>
          <w:bCs w:val="0"/>
          <w:snapToGrid w:val="0"/>
          <w:color w:val="auto"/>
        </w:rPr>
      </w:pPr>
      <w:r>
        <w:rPr>
          <w:rFonts w:hint="eastAsia" w:ascii="仿宋_GB2312" w:hAnsi="仿宋_GB2312" w:eastAsia="仿宋_GB2312" w:cs="仿宋_GB2312"/>
          <w:b w:val="0"/>
          <w:bCs w:val="0"/>
          <w:snapToGrid w:val="0"/>
          <w:color w:val="auto"/>
        </w:rPr>
        <w:t>完善食品安全风险防控体系。建立覆盖“从农田到餐桌”全过程食品安全风险监测网络。强化抽检监测的隐患排查和风险管控作用。提高食品安全技术鉴定能力。持续发布风险预警和消费提示，探索监检联动和食品安全区域联治。强化食品生产经营安全风险分级分类管理，推动日常监管与重点监管有机结合。加强食品安全突发事件应急处置。</w:t>
      </w:r>
    </w:p>
    <w:tbl>
      <w:tblPr>
        <w:tblStyle w:val="2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9061" w:type="dxa"/>
          </w:tcPr>
          <w:p>
            <w:pPr>
              <w:pStyle w:val="17"/>
              <w:ind w:firstLine="560"/>
              <w:jc w:val="both"/>
              <w:rPr>
                <w:rFonts w:ascii="楷体" w:hAnsi="楷体" w:eastAsia="楷体" w:cs="楷体"/>
                <w:color w:val="auto"/>
                <w:sz w:val="28"/>
                <w:szCs w:val="28"/>
              </w:rPr>
            </w:pPr>
            <w:r>
              <w:rPr>
                <w:rFonts w:hint="eastAsia" w:eastAsia="黑体"/>
                <w:color w:val="auto"/>
                <w:sz w:val="28"/>
                <w:szCs w:val="28"/>
              </w:rPr>
              <w:t>专栏</w:t>
            </w:r>
            <w:r>
              <w:rPr>
                <w:rFonts w:eastAsia="黑体"/>
                <w:color w:val="auto"/>
                <w:sz w:val="28"/>
                <w:szCs w:val="28"/>
              </w:rPr>
              <w:t>6</w:t>
            </w:r>
            <w:r>
              <w:rPr>
                <w:rFonts w:hint="eastAsia" w:eastAsia="黑体"/>
                <w:color w:val="auto"/>
                <w:sz w:val="28"/>
                <w:szCs w:val="28"/>
                <w:lang w:eastAsia="zh-CN"/>
              </w:rPr>
              <w:t>：</w:t>
            </w:r>
            <w:r>
              <w:rPr>
                <w:rFonts w:hint="eastAsia" w:eastAsia="黑体"/>
                <w:color w:val="auto"/>
                <w:sz w:val="28"/>
                <w:szCs w:val="28"/>
              </w:rPr>
              <w:t>食品安全监管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pStyle w:val="8"/>
              <w:spacing w:after="0" w:line="580" w:lineRule="exact"/>
              <w:rPr>
                <w:rFonts w:hint="eastAsia" w:eastAsia="仿宋_GB2312"/>
                <w:color w:val="auto"/>
                <w:sz w:val="28"/>
                <w:szCs w:val="28"/>
                <w:lang w:eastAsia="zh-CN"/>
              </w:rPr>
            </w:pPr>
            <w:r>
              <w:rPr>
                <w:rFonts w:hint="eastAsia" w:ascii="仿宋_GB2312" w:hAnsi="楷体" w:eastAsia="仿宋_GB2312" w:cs="楷体"/>
                <w:b/>
                <w:bCs/>
                <w:color w:val="auto"/>
                <w:sz w:val="28"/>
                <w:szCs w:val="28"/>
                <w:lang w:eastAsia="zh-CN"/>
              </w:rPr>
              <w:t>　　</w:t>
            </w:r>
            <w:r>
              <w:rPr>
                <w:rFonts w:hint="eastAsia" w:ascii="仿宋_GB2312" w:hAnsi="楷体" w:eastAsia="仿宋_GB2312" w:cs="楷体"/>
                <w:b/>
                <w:bCs/>
                <w:color w:val="auto"/>
                <w:sz w:val="28"/>
                <w:szCs w:val="28"/>
              </w:rPr>
              <w:t>1.</w:t>
            </w:r>
            <w:r>
              <w:rPr>
                <w:rFonts w:hint="eastAsia" w:ascii="仿宋_GB2312" w:eastAsia="仿宋_GB2312"/>
                <w:color w:val="auto"/>
              </w:rPr>
              <w:t xml:space="preserve"> </w:t>
            </w:r>
            <w:r>
              <w:rPr>
                <w:rFonts w:hint="eastAsia" w:ascii="仿宋_GB2312" w:hAnsi="楷体" w:eastAsia="仿宋_GB2312" w:cs="楷体"/>
                <w:b/>
                <w:bCs/>
                <w:color w:val="auto"/>
                <w:sz w:val="28"/>
                <w:szCs w:val="28"/>
              </w:rPr>
              <w:t>食品安全监管行动。</w:t>
            </w:r>
            <w:r>
              <w:rPr>
                <w:rFonts w:hint="eastAsia" w:ascii="仿宋_GB2312" w:hAnsi="楷体" w:eastAsia="仿宋_GB2312" w:cs="楷体"/>
                <w:color w:val="auto"/>
                <w:sz w:val="28"/>
                <w:szCs w:val="28"/>
              </w:rPr>
              <w:t>积极争创国家食品安全示范城市</w:t>
            </w:r>
            <w:r>
              <w:rPr>
                <w:rFonts w:hint="eastAsia" w:ascii="仿宋_GB2312" w:hAnsi="楷体" w:eastAsia="仿宋_GB2312" w:cs="楷体"/>
                <w:color w:val="auto"/>
                <w:sz w:val="28"/>
                <w:szCs w:val="28"/>
                <w:lang w:eastAsia="zh-CN"/>
              </w:rPr>
              <w:t>、</w:t>
            </w:r>
            <w:r>
              <w:rPr>
                <w:rFonts w:hint="eastAsia" w:ascii="仿宋_GB2312" w:hAnsi="楷体" w:eastAsia="仿宋_GB2312" w:cs="楷体"/>
                <w:color w:val="auto"/>
                <w:sz w:val="28"/>
                <w:szCs w:val="28"/>
              </w:rPr>
              <w:t>省级食品安全示范县（市</w:t>
            </w:r>
            <w:r>
              <w:rPr>
                <w:rFonts w:hint="eastAsia" w:ascii="仿宋_GB2312" w:hAnsi="楷体" w:eastAsia="仿宋_GB2312" w:cs="楷体"/>
                <w:color w:val="auto"/>
                <w:sz w:val="28"/>
                <w:szCs w:val="28"/>
                <w:lang w:eastAsia="zh-CN"/>
              </w:rPr>
              <w:t>、区</w:t>
            </w:r>
            <w:r>
              <w:rPr>
                <w:rFonts w:hint="eastAsia" w:ascii="仿宋_GB2312" w:hAnsi="楷体" w:eastAsia="仿宋_GB2312" w:cs="楷体"/>
                <w:color w:val="auto"/>
                <w:sz w:val="28"/>
                <w:szCs w:val="28"/>
              </w:rPr>
              <w:t>）</w:t>
            </w:r>
            <w:r>
              <w:rPr>
                <w:rFonts w:hint="eastAsia" w:ascii="仿宋_GB2312" w:hAnsi="楷体" w:eastAsia="仿宋_GB2312" w:cs="楷体"/>
                <w:color w:val="auto"/>
                <w:sz w:val="28"/>
                <w:szCs w:val="28"/>
                <w:lang w:eastAsia="zh-CN"/>
              </w:rPr>
              <w:t>。引导</w:t>
            </w:r>
            <w:r>
              <w:rPr>
                <w:rFonts w:hint="eastAsia" w:ascii="仿宋_GB2312" w:hAnsi="楷体" w:eastAsia="仿宋_GB2312" w:cs="楷体"/>
                <w:color w:val="auto"/>
                <w:sz w:val="28"/>
                <w:szCs w:val="28"/>
              </w:rPr>
              <w:t>创建市级食品安全示范县（市</w:t>
            </w:r>
            <w:r>
              <w:rPr>
                <w:rFonts w:hint="eastAsia" w:ascii="仿宋_GB2312" w:hAnsi="楷体" w:eastAsia="仿宋_GB2312" w:cs="楷体"/>
                <w:color w:val="auto"/>
                <w:sz w:val="28"/>
                <w:szCs w:val="28"/>
                <w:lang w:eastAsia="zh-CN"/>
              </w:rPr>
              <w:t>、区</w:t>
            </w:r>
            <w:r>
              <w:rPr>
                <w:rFonts w:hint="eastAsia" w:ascii="仿宋_GB2312" w:hAnsi="楷体" w:eastAsia="仿宋_GB2312" w:cs="楷体"/>
                <w:color w:val="auto"/>
                <w:sz w:val="28"/>
                <w:szCs w:val="28"/>
              </w:rPr>
              <w:t>）6个。规上食品生产企业实施国际通行的质量管理体系认证率100%，食品生产企业、大中型餐饮企业、食品流通企业、特殊餐饮服务提供者自查报告率100%，食品生产经营企业配备食品安全管理人员比例100%，食品质量安管理岗位人员法规知识抽查考核合格率90%以上，食品生产经营企业实施食品安全风险分级率100%。推进冷链物流疼情防控和农产品市场规</w:t>
            </w:r>
            <w:r>
              <w:rPr>
                <w:rFonts w:hint="eastAsia" w:ascii="仿宋_GB2312" w:hAnsi="楷体" w:eastAsia="仿宋_GB2312" w:cs="楷体"/>
                <w:color w:val="auto"/>
                <w:sz w:val="28"/>
                <w:szCs w:val="28"/>
                <w:lang w:eastAsia="zh-CN"/>
              </w:rPr>
              <w:t>范</w:t>
            </w:r>
            <w:r>
              <w:rPr>
                <w:rFonts w:hint="eastAsia" w:ascii="仿宋_GB2312" w:hAnsi="楷体" w:eastAsia="仿宋_GB2312" w:cs="楷体"/>
                <w:color w:val="auto"/>
                <w:sz w:val="28"/>
                <w:szCs w:val="28"/>
              </w:rPr>
              <w:t>化建设，扩大“川冷链”追潮平台覆盖率，改造提升农产品市场２０个。全面推行学校食堂“明厨亮灶”，实现“互联网+明厨亮灶”，中小学（幼儿园）食堂“明厨亮灶”达100%。食品抽检年均</w:t>
            </w:r>
            <w:r>
              <w:rPr>
                <w:rFonts w:hint="eastAsia" w:ascii="仿宋_GB2312" w:hAnsi="楷体" w:eastAsia="仿宋_GB2312" w:cs="楷体"/>
                <w:color w:val="auto"/>
                <w:sz w:val="28"/>
                <w:szCs w:val="28"/>
                <w:shd w:val="clear" w:color="auto" w:fill="auto"/>
                <w:lang w:val="en-US" w:eastAsia="zh-CN"/>
              </w:rPr>
              <w:t>3.2</w:t>
            </w:r>
            <w:r>
              <w:rPr>
                <w:rFonts w:hint="eastAsia" w:ascii="仿宋_GB2312" w:hAnsi="楷体" w:eastAsia="仿宋_GB2312" w:cs="楷体"/>
                <w:color w:val="auto"/>
                <w:sz w:val="28"/>
                <w:szCs w:val="28"/>
              </w:rPr>
              <w:t>批次/千人</w:t>
            </w:r>
            <w:r>
              <w:rPr>
                <w:rFonts w:hint="eastAsia" w:ascii="仿宋_GB2312" w:hAnsi="楷体" w:eastAsia="仿宋_GB2312" w:cs="楷体"/>
                <w:color w:val="auto"/>
                <w:sz w:val="28"/>
                <w:szCs w:val="28"/>
                <w:lang w:eastAsia="zh-CN"/>
              </w:rPr>
              <w:t>。</w:t>
            </w:r>
          </w:p>
        </w:tc>
      </w:tr>
    </w:tbl>
    <w:p>
      <w:pPr>
        <w:pStyle w:val="36"/>
        <w:jc w:val="both"/>
        <w:outlineLvl w:val="2"/>
        <w:rPr>
          <w:rFonts w:hint="eastAsia" w:ascii="黑体" w:hAnsi="黑体" w:eastAsia="黑体" w:cs="黑体"/>
          <w:b w:val="0"/>
          <w:bCs w:val="0"/>
          <w:snapToGrid w:val="0"/>
          <w:color w:val="auto"/>
          <w:lang w:bidi="ar"/>
        </w:rPr>
      </w:pPr>
      <w:bookmarkStart w:id="39" w:name="_Toc77261198"/>
      <w:r>
        <w:rPr>
          <w:rFonts w:hint="eastAsia" w:ascii="黑体" w:hAnsi="黑体" w:eastAsia="黑体" w:cs="黑体"/>
          <w:b w:val="0"/>
          <w:bCs w:val="0"/>
          <w:snapToGrid w:val="0"/>
          <w:color w:val="auto"/>
          <w:lang w:eastAsia="zh-CN" w:bidi="ar"/>
        </w:rPr>
        <w:t>二、</w:t>
      </w:r>
      <w:r>
        <w:rPr>
          <w:rFonts w:hint="eastAsia" w:ascii="黑体" w:hAnsi="黑体" w:eastAsia="黑体" w:cs="黑体"/>
          <w:b w:val="0"/>
          <w:bCs w:val="0"/>
          <w:snapToGrid w:val="0"/>
          <w:color w:val="auto"/>
          <w:lang w:bidi="ar"/>
        </w:rPr>
        <w:t>加强药品安全监管</w:t>
      </w:r>
      <w:bookmarkEnd w:id="37"/>
      <w:bookmarkEnd w:id="38"/>
      <w:bookmarkEnd w:id="39"/>
    </w:p>
    <w:p>
      <w:pPr>
        <w:pStyle w:val="36"/>
        <w:ind w:firstLine="640"/>
        <w:jc w:val="both"/>
        <w:rPr>
          <w:rFonts w:hint="eastAsia" w:ascii="仿宋_GB2312" w:hAnsi="仿宋_GB2312" w:eastAsia="仿宋_GB2312" w:cs="仿宋_GB2312"/>
          <w:b w:val="0"/>
          <w:bCs w:val="0"/>
          <w:snapToGrid w:val="0"/>
          <w:color w:val="auto"/>
        </w:rPr>
      </w:pPr>
      <w:r>
        <w:rPr>
          <w:rFonts w:hint="eastAsia" w:ascii="仿宋_GB2312" w:hAnsi="仿宋_GB2312" w:eastAsia="仿宋_GB2312" w:cs="仿宋_GB2312"/>
          <w:b w:val="0"/>
          <w:bCs w:val="0"/>
          <w:snapToGrid w:val="0"/>
          <w:color w:val="auto"/>
        </w:rPr>
        <w:t>建立药品安全监管协同机制。落实市县两级药品监管事权，进一步健全完善市县药品监管体制机制，形成权责明确、衔接顺畅、协作紧密的药品安全监管体系。纵向完善市、县药品监管部门在信息报送、稽查执法、检查检验、监测评价、人员调派、教育培训、应急处置等方面的衔接机制，统一组织管理，分级履行责任。完善行政监管部门与技术支撑机构的协调联动，实现许可、检查、处罚事权的协调联动。</w:t>
      </w:r>
      <w:bookmarkStart w:id="40" w:name="_Toc963908384"/>
      <w:r>
        <w:rPr>
          <w:rFonts w:hint="eastAsia" w:ascii="仿宋_GB2312" w:hAnsi="仿宋_GB2312" w:eastAsia="仿宋_GB2312" w:cs="仿宋_GB2312"/>
          <w:b w:val="0"/>
          <w:bCs w:val="0"/>
          <w:snapToGrid w:val="0"/>
          <w:color w:val="auto"/>
        </w:rPr>
        <w:t>加强监管机构力量配备</w:t>
      </w:r>
      <w:bookmarkEnd w:id="40"/>
      <w:r>
        <w:rPr>
          <w:rFonts w:hint="eastAsia" w:ascii="仿宋_GB2312" w:hAnsi="仿宋_GB2312" w:eastAsia="仿宋_GB2312" w:cs="仿宋_GB2312"/>
          <w:b w:val="0"/>
          <w:bCs w:val="0"/>
          <w:snapToGrid w:val="0"/>
          <w:color w:val="auto"/>
        </w:rPr>
        <w:t>，建立与各级监管机构职责相匹配的药品监管专业力量，加强药品监管技术机构建设。市、县两级市场监管局要结合人口数量、产业和行业状况等指标，切实加强药品监管专业人才配备，保障日常监管、执法办案、应急处置等工作顺利开展，确保药品监管履职到位。围绕“三医联动”，强化部门合作，推进医疗、医药、医保联动改革的系统集成。建立跨区域跨层级药品监管协同机制。强化与发改、财政、科技、经信、卫健、中医药管理等部门合作。完善行刑衔接机制，加快与公安、司法部门建立重大案件联合执法机制，提升药品治理合力。</w:t>
      </w:r>
    </w:p>
    <w:p>
      <w:pPr>
        <w:pStyle w:val="36"/>
        <w:ind w:firstLine="640"/>
        <w:jc w:val="both"/>
        <w:rPr>
          <w:rFonts w:hint="eastAsia" w:ascii="仿宋_GB2312" w:hAnsi="仿宋_GB2312" w:eastAsia="仿宋_GB2312" w:cs="仿宋_GB2312"/>
          <w:b w:val="0"/>
          <w:bCs w:val="0"/>
          <w:snapToGrid w:val="0"/>
          <w:color w:val="auto"/>
        </w:rPr>
      </w:pPr>
      <w:r>
        <w:rPr>
          <w:rFonts w:hint="eastAsia" w:ascii="仿宋_GB2312" w:hAnsi="仿宋_GB2312" w:eastAsia="仿宋_GB2312" w:cs="仿宋_GB2312"/>
          <w:b w:val="0"/>
          <w:bCs w:val="0"/>
          <w:snapToGrid w:val="0"/>
          <w:color w:val="auto"/>
        </w:rPr>
        <w:t>完善药品安全监管体系。探索制定我市药品安全责任考核方案，坚持党政同责，推动将药品安全工作纳入对地方政府和党政领导干部考核的内容，建立健全药品安全责任约谈机制和责任追究机制。建立以目标为引领、结果为导向、内外部结合的监管效能评价机制，推动药品安全治理的持续改进提升。探索建立药品、医疗器械、化妆品全生命周期监管制度，动态调整部门权力清单、责任清单。加强对新颁布的药品、医疗器械、化妆品相关法律法规规章及规范性文件的宣贯，深化行政执法与刑事司法衔接，健全行政执法责任制、行政执法监督制度和执法办案激励机制。加强风险防控管理，利用监管大数据，开展药械化安全风险主动监测、识别、交流研判。建立药械化质量安全风险研判会商制度，加强对药械化质量安全风险信号的分析研判，制定风险清单，实施精准安全风险防控。督促企业建立完善药品质量和安全风险自查承诺制。加大飞行检查力度，持续开展药品、医疗器械、化妆品专项整治。加强市、县两级监测评价体系和能力建设，探索建立药物警戒机构，创新完善监测评价方式方法，推进“两品一械”监测哨点建设，切实做好“两品一械”警戒工作。</w:t>
      </w:r>
    </w:p>
    <w:p>
      <w:pPr>
        <w:pStyle w:val="36"/>
        <w:widowControl w:val="0"/>
        <w:ind w:firstLine="640"/>
        <w:jc w:val="both"/>
        <w:rPr>
          <w:rFonts w:hint="eastAsia" w:ascii="仿宋_GB2312" w:hAnsi="仿宋_GB2312" w:eastAsia="仿宋_GB2312" w:cs="仿宋_GB2312"/>
          <w:b w:val="0"/>
          <w:bCs w:val="0"/>
          <w:snapToGrid w:val="0"/>
          <w:color w:val="auto"/>
        </w:rPr>
      </w:pPr>
      <w:r>
        <w:rPr>
          <w:rFonts w:hint="eastAsia" w:ascii="仿宋_GB2312" w:hAnsi="仿宋_GB2312" w:eastAsia="仿宋_GB2312" w:cs="仿宋_GB2312"/>
          <w:b w:val="0"/>
          <w:bCs w:val="0"/>
          <w:snapToGrid w:val="0"/>
          <w:color w:val="auto"/>
        </w:rPr>
        <w:t>强化药品安全专项监管。规范药品经营秩序，强化现场检查和监督抽检，提高监督检查覆盖率，督促企业持续合规经营。加强互联网药品销售监管，及时排查处置网售药品风险，严厉查处网售假药等药品违法行为。加强对医疗机构药品购进、储存、调配和使用质量情况以及与卫生行政部门联合的不良反应监测、报告、分析和控制的监督检查。大力强化药品零售企业执业药师配备。建立疫苗监管质量管理体系，完善疫苗安全协调机制，加强疫苗储存、运输（配送）和使用环节监管。建立应急处置机制，有效预防、及时控制和正确处置各类突发疫苗安全事件。 加强对中药流通、使用等单位和环节的监督检查。加强对中药材及饮片（含中药配方颗粒）、中成药、医疗机构中药制剂使用的监督管理。鼓励全市各级各类中医医疗机构参与国家药品不良反应监测哨点医院建设。完善医疗器械监管制度，根据《四川省重点监管医疗器械目录》，实施分级分类监管，提高监管科学性、有效性、规范性。推进医疗器械注册人、备案人制度全面实施，完成对辖区一类医疗器械产品生产企业的生产质量管理规范全项目检查。建立医疗器械高值耗材及集采品种监管清单，分步实施医疗器械唯一标识制度。加大化妆品监督抽检力度，对染发、祛斑美白、儿童（含婴幼儿）化妆品等高风险品种提高监督抽检覆盖率，落实备案人产品召回、不良反应监测和风险评价等责任，确保化妆品质量安全。</w:t>
      </w:r>
    </w:p>
    <w:tbl>
      <w:tblPr>
        <w:tblStyle w:val="2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pStyle w:val="17"/>
              <w:ind w:firstLine="560"/>
              <w:jc w:val="both"/>
              <w:rPr>
                <w:color w:val="auto"/>
                <w:sz w:val="28"/>
                <w:szCs w:val="28"/>
              </w:rPr>
            </w:pPr>
            <w:r>
              <w:rPr>
                <w:rFonts w:eastAsia="黑体"/>
                <w:color w:val="auto"/>
                <w:sz w:val="28"/>
                <w:szCs w:val="28"/>
              </w:rPr>
              <w:t>专栏7：</w:t>
            </w:r>
            <w:r>
              <w:rPr>
                <w:rFonts w:hint="eastAsia" w:eastAsia="黑体"/>
                <w:color w:val="auto"/>
                <w:sz w:val="28"/>
                <w:szCs w:val="28"/>
              </w:rPr>
              <w:t>药品安全治理行动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61" w:type="dxa"/>
          </w:tcPr>
          <w:p>
            <w:pPr>
              <w:spacing w:line="360" w:lineRule="auto"/>
              <w:ind w:firstLine="562"/>
              <w:rPr>
                <w:rFonts w:ascii="仿宋_GB2312" w:hAnsi="仿宋" w:eastAsia="仿宋_GB2312" w:cs="仿宋"/>
                <w:color w:val="auto"/>
                <w:sz w:val="28"/>
                <w:szCs w:val="36"/>
              </w:rPr>
            </w:pPr>
            <w:r>
              <w:rPr>
                <w:rFonts w:hint="eastAsia" w:ascii="仿宋_GB2312" w:hAnsi="仿宋" w:eastAsia="仿宋_GB2312" w:cs="仿宋"/>
                <w:b/>
                <w:bCs/>
                <w:color w:val="auto"/>
                <w:sz w:val="28"/>
                <w:szCs w:val="36"/>
              </w:rPr>
              <w:t>1.“三医联动”政策协同。</w:t>
            </w:r>
            <w:r>
              <w:rPr>
                <w:rFonts w:hint="eastAsia" w:ascii="仿宋_GB2312" w:hAnsi="仿宋" w:eastAsia="仿宋_GB2312" w:cs="仿宋"/>
                <w:color w:val="auto"/>
                <w:sz w:val="28"/>
                <w:szCs w:val="36"/>
              </w:rPr>
              <w:t>积极参与医药、医保和医疗改革联动，建立药品供应端、药品采购端、医疗服务端协同保障机制，降低医药费用。积极落实国家组织药品集中采购成果，引导安全信用良好的企业，持续推进质量与疗效一致性工作，满足人民群众健康需求。</w:t>
            </w:r>
          </w:p>
          <w:p>
            <w:pPr>
              <w:spacing w:line="360" w:lineRule="auto"/>
              <w:ind w:firstLine="562"/>
              <w:rPr>
                <w:rFonts w:ascii="仿宋_GB2312" w:hAnsi="仿宋" w:eastAsia="仿宋_GB2312" w:cs="仿宋"/>
                <w:color w:val="auto"/>
                <w:sz w:val="28"/>
                <w:szCs w:val="36"/>
              </w:rPr>
            </w:pPr>
            <w:r>
              <w:rPr>
                <w:rFonts w:hint="eastAsia" w:ascii="仿宋_GB2312" w:hAnsi="仿宋" w:eastAsia="仿宋_GB2312" w:cs="仿宋"/>
                <w:b/>
                <w:bCs/>
                <w:color w:val="auto"/>
                <w:sz w:val="28"/>
                <w:szCs w:val="36"/>
              </w:rPr>
              <w:t>2.药品安全与产业扶持政策协同。</w:t>
            </w:r>
            <w:r>
              <w:rPr>
                <w:rFonts w:hint="eastAsia" w:ascii="仿宋_GB2312" w:hAnsi="仿宋" w:eastAsia="仿宋_GB2312" w:cs="仿宋"/>
                <w:color w:val="auto"/>
                <w:sz w:val="28"/>
                <w:szCs w:val="36"/>
              </w:rPr>
              <w:t>根据全市产业发展规划和引导，依法依规加大对疫苗药品、创新药、高端医疗器械等自主创新项目的支持力度，</w:t>
            </w:r>
            <w:r>
              <w:rPr>
                <w:rFonts w:hint="eastAsia" w:ascii="仿宋_GB2312" w:hAnsi="仿宋" w:eastAsia="仿宋_GB2312" w:cs="仿宋"/>
                <w:color w:val="auto"/>
                <w:sz w:val="28"/>
                <w:szCs w:val="36"/>
                <w:lang w:eastAsia="zh-CN"/>
              </w:rPr>
              <w:t>围绕中药材等产业建设，</w:t>
            </w:r>
            <w:r>
              <w:rPr>
                <w:rFonts w:hint="eastAsia" w:ascii="仿宋_GB2312" w:hAnsi="仿宋" w:eastAsia="仿宋_GB2312" w:cs="仿宋"/>
                <w:color w:val="auto"/>
                <w:sz w:val="28"/>
                <w:szCs w:val="36"/>
              </w:rPr>
              <w:t>加强产业布局与监管布局的统筹，产业建设与监管能力建设同步进行。</w:t>
            </w:r>
          </w:p>
          <w:p>
            <w:pPr>
              <w:spacing w:line="360" w:lineRule="auto"/>
              <w:ind w:firstLine="562"/>
              <w:rPr>
                <w:rFonts w:ascii="仿宋_GB2312" w:hAnsi="仿宋" w:eastAsia="仿宋_GB2312" w:cs="仿宋"/>
                <w:color w:val="auto"/>
                <w:sz w:val="28"/>
                <w:szCs w:val="36"/>
              </w:rPr>
            </w:pPr>
            <w:r>
              <w:rPr>
                <w:rFonts w:hint="eastAsia" w:ascii="仿宋_GB2312" w:hAnsi="仿宋" w:eastAsia="仿宋_GB2312" w:cs="仿宋"/>
                <w:b/>
                <w:bCs/>
                <w:color w:val="auto"/>
                <w:sz w:val="28"/>
                <w:szCs w:val="36"/>
              </w:rPr>
              <w:t>3.部门协作政策协同。</w:t>
            </w:r>
            <w:r>
              <w:rPr>
                <w:rFonts w:hint="eastAsia" w:ascii="仿宋_GB2312" w:hAnsi="仿宋" w:eastAsia="仿宋_GB2312" w:cs="仿宋"/>
                <w:color w:val="auto"/>
                <w:sz w:val="28"/>
                <w:szCs w:val="36"/>
              </w:rPr>
              <w:t xml:space="preserve">强化市场监管部门与宣传部门协作，建立舆情监测和应对合作机制，及时协调宣传口径，共同做好舆论引导，将安全用药科普纳入群众思想教育内容。建立重大案件信息通报机制。强化公安、司法部门与药品监管部门协作，建立起畅通高效、规范有序的线索移送、信息共享、联合执法等机制。  </w:t>
            </w:r>
          </w:p>
          <w:p>
            <w:pPr>
              <w:spacing w:line="360" w:lineRule="auto"/>
              <w:ind w:firstLine="562"/>
              <w:rPr>
                <w:rFonts w:ascii="仿宋_GB2312" w:hAnsi="仿宋" w:eastAsia="仿宋_GB2312" w:cs="仿宋"/>
                <w:color w:val="auto"/>
                <w:sz w:val="28"/>
                <w:szCs w:val="36"/>
              </w:rPr>
            </w:pPr>
            <w:r>
              <w:rPr>
                <w:rFonts w:hint="eastAsia" w:ascii="仿宋_GB2312" w:hAnsi="仿宋" w:eastAsia="仿宋_GB2312" w:cs="仿宋"/>
                <w:b/>
                <w:bCs/>
                <w:color w:val="auto"/>
                <w:sz w:val="28"/>
                <w:szCs w:val="36"/>
              </w:rPr>
              <w:t>4.信用监管政策协同。</w:t>
            </w:r>
            <w:r>
              <w:rPr>
                <w:rFonts w:hint="eastAsia" w:ascii="仿宋_GB2312" w:hAnsi="仿宋" w:eastAsia="仿宋_GB2312" w:cs="仿宋"/>
                <w:color w:val="auto"/>
                <w:sz w:val="28"/>
                <w:szCs w:val="36"/>
              </w:rPr>
              <w:t>药品经营企业实行信用分类管理，将药品安全信用状况纳入企业和公民征信范畴，依法依规对失信企业和个人实施跨行业、跨领域、跨部门失信联合惩戒。</w:t>
            </w:r>
          </w:p>
          <w:p>
            <w:pPr>
              <w:ind w:firstLine="562"/>
              <w:jc w:val="left"/>
              <w:rPr>
                <w:rFonts w:ascii="仿宋_GB2312" w:hAnsi="仿宋" w:eastAsia="仿宋_GB2312" w:cs="仿宋"/>
                <w:color w:val="auto"/>
                <w:sz w:val="28"/>
                <w:szCs w:val="36"/>
              </w:rPr>
            </w:pPr>
            <w:r>
              <w:rPr>
                <w:rFonts w:hint="eastAsia" w:ascii="仿宋_GB2312" w:hAnsi="仿宋" w:eastAsia="仿宋_GB2312" w:cs="仿宋"/>
                <w:b/>
                <w:bCs/>
                <w:color w:val="auto"/>
                <w:sz w:val="28"/>
                <w:szCs w:val="36"/>
              </w:rPr>
              <w:t>5.探索异地协同机制。</w:t>
            </w:r>
            <w:r>
              <w:rPr>
                <w:rFonts w:hint="eastAsia" w:ascii="仿宋_GB2312" w:hAnsi="仿宋" w:eastAsia="仿宋_GB2312" w:cs="仿宋"/>
                <w:color w:val="auto"/>
                <w:sz w:val="28"/>
                <w:szCs w:val="36"/>
              </w:rPr>
              <w:t>贯彻落实中央和省委省政府、市委市政府关于加快建设成渝地区双城经济圈战略部署，认真执行两地监管的政策衔接和协同机制。推动更多事项川渝通办和监管信息共享，共同提升川渝区域药品安全水平，协同促进医药产业高质量发展。</w:t>
            </w:r>
          </w:p>
          <w:p>
            <w:pPr>
              <w:ind w:firstLine="562"/>
              <w:rPr>
                <w:rFonts w:ascii="仿宋_GB2312" w:hAnsi="仿宋" w:eastAsia="仿宋_GB2312" w:cs="仿宋"/>
                <w:color w:val="auto"/>
                <w:sz w:val="28"/>
                <w:szCs w:val="36"/>
              </w:rPr>
            </w:pPr>
            <w:r>
              <w:rPr>
                <w:rFonts w:hint="eastAsia" w:ascii="仿宋_GB2312" w:hAnsi="仿宋" w:eastAsia="仿宋_GB2312" w:cs="仿宋"/>
                <w:b/>
                <w:color w:val="auto"/>
                <w:kern w:val="0"/>
                <w:sz w:val="28"/>
                <w:szCs w:val="28"/>
              </w:rPr>
              <w:t>6.强化药品抽样检验。</w:t>
            </w:r>
            <w:r>
              <w:rPr>
                <w:rFonts w:hint="eastAsia" w:ascii="仿宋_GB2312" w:hAnsi="仿宋" w:eastAsia="仿宋_GB2312" w:cs="仿宋"/>
                <w:color w:val="auto"/>
                <w:sz w:val="28"/>
                <w:szCs w:val="36"/>
              </w:rPr>
              <w:t>组织实施药品抽样检验，及时发布抽检信息，完善抽检结果的分析应用，加大抽检不合格药品核查处置力度。</w:t>
            </w:r>
          </w:p>
          <w:p>
            <w:pPr>
              <w:pStyle w:val="8"/>
              <w:ind w:firstLine="562" w:firstLineChars="200"/>
              <w:jc w:val="left"/>
              <w:rPr>
                <w:color w:val="auto"/>
              </w:rPr>
            </w:pPr>
            <w:r>
              <w:rPr>
                <w:rFonts w:hint="eastAsia" w:ascii="仿宋_GB2312" w:hAnsi="仿宋" w:eastAsia="仿宋_GB2312" w:cs="仿宋"/>
                <w:b/>
                <w:color w:val="auto"/>
                <w:kern w:val="0"/>
                <w:sz w:val="28"/>
                <w:szCs w:val="28"/>
              </w:rPr>
              <w:t>7.强化重点品种风险排查</w:t>
            </w:r>
            <w:r>
              <w:rPr>
                <w:rFonts w:hint="eastAsia" w:ascii="仿宋_GB2312" w:hAnsi="仿宋" w:eastAsia="仿宋_GB2312" w:cs="仿宋"/>
                <w:color w:val="auto"/>
                <w:kern w:val="0"/>
                <w:sz w:val="28"/>
                <w:szCs w:val="28"/>
              </w:rPr>
              <w:t>。</w:t>
            </w:r>
            <w:r>
              <w:rPr>
                <w:rFonts w:hint="eastAsia" w:ascii="仿宋_GB2312" w:hAnsi="仿宋" w:eastAsia="仿宋_GB2312" w:cs="仿宋"/>
                <w:color w:val="auto"/>
                <w:sz w:val="28"/>
                <w:szCs w:val="36"/>
              </w:rPr>
              <w:t>加大对疫苗、血液制品、麻醉药品、等高风险品种，附条件批准的品种、紧急使用的品种和通过一致性评价特别是纳入国家药品集采中选品种等重点产品的监督检查。药品零售企业实现三年全覆盖检查。</w:t>
            </w:r>
            <w:r>
              <w:rPr>
                <w:rFonts w:hint="eastAsia" w:ascii="仿宋_GB2312" w:hAnsi="仿宋" w:eastAsia="仿宋_GB2312" w:cs="仿宋"/>
                <w:color w:val="auto"/>
                <w:sz w:val="28"/>
                <w:szCs w:val="36"/>
                <w:lang w:eastAsia="zh-CN"/>
              </w:rPr>
              <w:t>药品抽检率</w:t>
            </w:r>
            <w:r>
              <w:rPr>
                <w:rFonts w:hint="eastAsia" w:ascii="仿宋_GB2312" w:hAnsi="仿宋" w:eastAsia="仿宋_GB2312" w:cs="仿宋"/>
                <w:color w:val="auto"/>
                <w:sz w:val="28"/>
                <w:szCs w:val="36"/>
                <w:lang w:val="en-US" w:eastAsia="zh-CN"/>
              </w:rPr>
              <w:t>98%。</w:t>
            </w:r>
            <w:r>
              <w:rPr>
                <w:rFonts w:hint="eastAsia" w:ascii="仿宋_GB2312" w:hAnsi="仿宋" w:eastAsia="仿宋_GB2312" w:cs="仿宋"/>
                <w:color w:val="auto"/>
                <w:sz w:val="28"/>
                <w:szCs w:val="36"/>
              </w:rPr>
              <w:t>特殊药品经营企业、疫</w:t>
            </w:r>
            <w:r>
              <w:rPr>
                <w:rFonts w:hint="eastAsia" w:ascii="仿宋_GB2312" w:hAnsi="仿宋" w:eastAsia="仿宋_GB2312" w:cs="仿宋"/>
                <w:color w:val="auto"/>
                <w:kern w:val="0"/>
                <w:sz w:val="28"/>
                <w:szCs w:val="28"/>
              </w:rPr>
              <w:t>苗配送企业、接种单位每年监督检查覆盖率达到100%。</w:t>
            </w:r>
          </w:p>
        </w:tc>
      </w:tr>
    </w:tbl>
    <w:p>
      <w:pPr>
        <w:pStyle w:val="36"/>
        <w:jc w:val="both"/>
        <w:outlineLvl w:val="2"/>
        <w:rPr>
          <w:rFonts w:hint="eastAsia" w:ascii="黑体" w:hAnsi="黑体" w:eastAsia="黑体" w:cs="黑体"/>
          <w:b w:val="0"/>
          <w:bCs w:val="0"/>
          <w:snapToGrid w:val="0"/>
          <w:color w:val="auto"/>
          <w:lang w:bidi="ar"/>
        </w:rPr>
      </w:pPr>
      <w:bookmarkStart w:id="41" w:name="_Toc77261199"/>
      <w:r>
        <w:rPr>
          <w:rFonts w:hint="eastAsia" w:ascii="黑体" w:hAnsi="黑体" w:eastAsia="黑体" w:cs="黑体"/>
          <w:b w:val="0"/>
          <w:bCs w:val="0"/>
          <w:snapToGrid w:val="0"/>
          <w:color w:val="auto"/>
          <w:lang w:eastAsia="zh-CN" w:bidi="ar"/>
        </w:rPr>
        <w:t>三、</w:t>
      </w:r>
      <w:r>
        <w:rPr>
          <w:rFonts w:hint="eastAsia" w:ascii="黑体" w:hAnsi="黑体" w:eastAsia="黑体" w:cs="黑体"/>
          <w:b w:val="0"/>
          <w:bCs w:val="0"/>
          <w:snapToGrid w:val="0"/>
          <w:color w:val="auto"/>
          <w:lang w:bidi="ar"/>
        </w:rPr>
        <w:t>加强特种设备安全监管</w:t>
      </w:r>
      <w:bookmarkEnd w:id="41"/>
    </w:p>
    <w:p>
      <w:pPr>
        <w:pStyle w:val="36"/>
        <w:ind w:firstLine="640"/>
        <w:jc w:val="both"/>
        <w:rPr>
          <w:rFonts w:hint="eastAsia" w:ascii="仿宋_GB2312" w:hAnsi="仿宋_GB2312" w:eastAsia="仿宋_GB2312" w:cs="仿宋_GB2312"/>
          <w:b w:val="0"/>
          <w:bCs w:val="0"/>
          <w:snapToGrid w:val="0"/>
          <w:color w:val="auto"/>
        </w:rPr>
      </w:pPr>
      <w:r>
        <w:rPr>
          <w:rFonts w:hint="eastAsia" w:ascii="仿宋_GB2312" w:hAnsi="仿宋_GB2312" w:eastAsia="仿宋_GB2312" w:cs="仿宋_GB2312"/>
          <w:b w:val="0"/>
          <w:bCs w:val="0"/>
          <w:snapToGrid w:val="0"/>
          <w:color w:val="auto"/>
        </w:rPr>
        <w:t>健全特种设备风险管控体系。完善特种设备安全风险分级管控与隐患排查治理双重预防体系。健全生产单位、使用单位、检验检测机构特种设备数据报告制度，实现特种设备安全信息全生命周期可追溯。健全行业管理部门和专业监管部门特种设备重大风险通报联动机制，全面落实企业“双重预防”自主辨识、自动管控、自查自改的风险防范主体责任。</w:t>
      </w:r>
    </w:p>
    <w:p>
      <w:pPr>
        <w:pStyle w:val="36"/>
        <w:ind w:firstLine="640"/>
        <w:jc w:val="both"/>
        <w:rPr>
          <w:rFonts w:hint="eastAsia" w:ascii="仿宋_GB2312" w:hAnsi="仿宋_GB2312" w:eastAsia="仿宋_GB2312" w:cs="仿宋_GB2312"/>
          <w:b w:val="0"/>
          <w:bCs w:val="0"/>
          <w:snapToGrid w:val="0"/>
          <w:color w:val="auto"/>
        </w:rPr>
      </w:pPr>
      <w:r>
        <w:rPr>
          <w:rFonts w:hint="eastAsia" w:ascii="仿宋_GB2312" w:hAnsi="仿宋_GB2312" w:eastAsia="仿宋_GB2312" w:cs="仿宋_GB2312"/>
          <w:b w:val="0"/>
          <w:bCs w:val="0"/>
          <w:snapToGrid w:val="0"/>
          <w:color w:val="auto"/>
        </w:rPr>
        <w:t>强化特种设备隐患排查整治。扎实推进特种设备安全专项整治三年行动。突出危化品相关特种设备、公共聚集场所特种设备、燃气行业特种设备、工贸行业特种设备，持续开展集中攻坚。建立重大活动、重大项目特种设备安全保障工作机制，开展有针对性的隐患排查治理。全面运用“现场监督检查APP”，构建完成气瓶安全监管服务平台、建设乐山市特种设备动态综合管理系统。加强和改善对涉氢设备等新型特种设备监管。加强特种设备事故预防、调查处理、统计分析与应急能力建设。</w:t>
      </w:r>
    </w:p>
    <w:p>
      <w:pPr>
        <w:pStyle w:val="36"/>
        <w:ind w:firstLine="640"/>
        <w:jc w:val="both"/>
        <w:rPr>
          <w:rFonts w:hint="eastAsia" w:ascii="仿宋_GB2312" w:hAnsi="仿宋_GB2312" w:eastAsia="仿宋_GB2312" w:cs="仿宋_GB2312"/>
          <w:b w:val="0"/>
          <w:bCs w:val="0"/>
          <w:snapToGrid w:val="0"/>
          <w:color w:val="auto"/>
        </w:rPr>
      </w:pPr>
      <w:r>
        <w:rPr>
          <w:rFonts w:hint="eastAsia" w:ascii="仿宋_GB2312" w:hAnsi="仿宋_GB2312" w:eastAsia="仿宋_GB2312" w:cs="仿宋_GB2312"/>
          <w:b w:val="0"/>
          <w:bCs w:val="0"/>
          <w:snapToGrid w:val="0"/>
          <w:color w:val="auto"/>
        </w:rPr>
        <w:t>完善特种设备安全保障市场化机制。建立电梯维保单位信用评价体系，加大电梯责任保险推进力度，持续扩大特种设备保险覆盖面。推进特种设备检验检测改革，坚持检验的公益属性和检测的市场属性，完善检验供给模式，有序引入社会检测力量，鼓励符合条件的企业开展自检。</w:t>
      </w:r>
    </w:p>
    <w:tbl>
      <w:tblPr>
        <w:tblStyle w:val="2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pStyle w:val="17"/>
              <w:ind w:firstLine="560"/>
              <w:jc w:val="both"/>
              <w:rPr>
                <w:color w:val="auto"/>
                <w:sz w:val="28"/>
                <w:szCs w:val="28"/>
              </w:rPr>
            </w:pPr>
            <w:r>
              <w:rPr>
                <w:rFonts w:eastAsia="黑体"/>
                <w:color w:val="auto"/>
                <w:sz w:val="28"/>
                <w:szCs w:val="28"/>
              </w:rPr>
              <w:t>专栏8：</w:t>
            </w:r>
            <w:r>
              <w:rPr>
                <w:rFonts w:hint="eastAsia" w:eastAsia="黑体"/>
                <w:color w:val="auto"/>
                <w:sz w:val="28"/>
                <w:szCs w:val="28"/>
              </w:rPr>
              <w:t>特种设备安全监管行动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61" w:type="dxa"/>
          </w:tcPr>
          <w:p>
            <w:pPr>
              <w:pStyle w:val="8"/>
              <w:ind w:firstLine="562" w:firstLineChars="200"/>
              <w:rPr>
                <w:color w:val="auto"/>
              </w:rPr>
            </w:pPr>
            <w:r>
              <w:rPr>
                <w:rFonts w:hint="eastAsia" w:ascii="仿宋" w:hAnsi="仿宋" w:eastAsia="仿宋" w:cs="仿宋"/>
                <w:b/>
                <w:bCs/>
                <w:color w:val="auto"/>
                <w:sz w:val="28"/>
                <w:szCs w:val="36"/>
              </w:rPr>
              <w:t>1</w:t>
            </w:r>
            <w:r>
              <w:rPr>
                <w:rFonts w:hint="eastAsia" w:ascii="仿宋" w:hAnsi="仿宋" w:eastAsia="仿宋" w:cs="仿宋"/>
                <w:b/>
                <w:bCs/>
                <w:color w:val="auto"/>
                <w:sz w:val="28"/>
                <w:szCs w:val="28"/>
              </w:rPr>
              <w:t>.特种设备安全监管行动</w:t>
            </w:r>
            <w:r>
              <w:rPr>
                <w:rFonts w:hint="eastAsia" w:ascii="仿宋" w:hAnsi="仿宋" w:eastAsia="仿宋" w:cs="仿宋"/>
                <w:color w:val="auto"/>
                <w:sz w:val="28"/>
                <w:szCs w:val="28"/>
              </w:rPr>
              <w:t>。以市特检所为主体，建立完善特种设备风险监测、事故技术分析和应急处置机制。逐步实现对生产单位监督检查全覆盖，重点行业领域特种设备各类隐患“动态清零”，力争实现特种设备使用登记率 100%、法定检验率100%、严重事故隐患整治率 100%。</w:t>
            </w:r>
          </w:p>
        </w:tc>
      </w:tr>
    </w:tbl>
    <w:p>
      <w:pPr>
        <w:pStyle w:val="36"/>
        <w:jc w:val="both"/>
        <w:outlineLvl w:val="2"/>
        <w:rPr>
          <w:rFonts w:hint="eastAsia" w:ascii="黑体" w:hAnsi="黑体" w:eastAsia="黑体" w:cs="黑体"/>
          <w:b w:val="0"/>
          <w:bCs w:val="0"/>
          <w:snapToGrid w:val="0"/>
          <w:color w:val="auto"/>
          <w:lang w:bidi="ar"/>
        </w:rPr>
      </w:pPr>
      <w:bookmarkStart w:id="42" w:name="_Toc77261200"/>
      <w:r>
        <w:rPr>
          <w:rFonts w:hint="eastAsia" w:ascii="黑体" w:hAnsi="黑体" w:eastAsia="黑体" w:cs="黑体"/>
          <w:b w:val="0"/>
          <w:bCs w:val="0"/>
          <w:snapToGrid w:val="0"/>
          <w:color w:val="auto"/>
          <w:lang w:eastAsia="zh-CN" w:bidi="ar"/>
        </w:rPr>
        <w:t>四、</w:t>
      </w:r>
      <w:r>
        <w:rPr>
          <w:rFonts w:hint="eastAsia" w:ascii="黑体" w:hAnsi="黑体" w:eastAsia="黑体" w:cs="黑体"/>
          <w:b w:val="0"/>
          <w:bCs w:val="0"/>
          <w:snapToGrid w:val="0"/>
          <w:color w:val="auto"/>
          <w:lang w:bidi="ar"/>
        </w:rPr>
        <w:t>加强产品质量安全监管</w:t>
      </w:r>
      <w:bookmarkEnd w:id="42"/>
    </w:p>
    <w:p>
      <w:pPr>
        <w:pStyle w:val="8"/>
        <w:spacing w:line="240" w:lineRule="auto"/>
        <w:ind w:firstLine="640" w:firstLineChars="200"/>
        <w:rPr>
          <w:rFonts w:hint="eastAsia" w:ascii="仿宋_GB2312" w:hAnsi="仿宋_GB2312" w:eastAsia="仿宋_GB2312" w:cs="仿宋_GB2312"/>
          <w:b w:val="0"/>
          <w:bCs w:val="0"/>
          <w:snapToGrid w:val="0"/>
          <w:color w:val="auto"/>
          <w:kern w:val="0"/>
          <w:sz w:val="32"/>
          <w:szCs w:val="32"/>
        </w:rPr>
      </w:pPr>
      <w:r>
        <w:rPr>
          <w:rFonts w:hint="eastAsia" w:ascii="仿宋_GB2312" w:hAnsi="仿宋_GB2312" w:eastAsia="仿宋_GB2312" w:cs="仿宋_GB2312"/>
          <w:b w:val="0"/>
          <w:bCs w:val="0"/>
          <w:snapToGrid w:val="0"/>
          <w:color w:val="auto"/>
          <w:kern w:val="0"/>
          <w:sz w:val="32"/>
          <w:szCs w:val="32"/>
        </w:rPr>
        <w:t>增强产品质量监管有效性。推动企业建立产品质量安全承诺制度，督促落实产品质量出厂检验、自主排查和主动报告风险隐患等制度，鼓励参加产品质量安全责任保险。深化“抽检分离”模式，制定重点工业产品质量安全监管目录，及时将风险较高的产品纳入重点监管范围，实施质量分级分类监管。</w:t>
      </w:r>
    </w:p>
    <w:p>
      <w:pPr>
        <w:pStyle w:val="8"/>
        <w:spacing w:line="240" w:lineRule="auto"/>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snapToGrid w:val="0"/>
          <w:color w:val="auto"/>
          <w:kern w:val="0"/>
          <w:sz w:val="32"/>
          <w:szCs w:val="32"/>
        </w:rPr>
        <w:t>着力防范化解风险。推动企业建立主要消费品质量安全追溯体系。健全缺陷产品召回制度，加强新能源与智能网联汽车、智能家居、儿童用品、电子电器等重点产品召回管理，强化重大案件调查与召回后续监督，完善缺陷产品召回技术支撑。完善产品伤害监测制度，拓宽监测信息采集渠道，扩大监测点，推进产品伤害预防干预。实施产品质量安全事故强制报告和调查处理制度</w:t>
      </w:r>
      <w:r>
        <w:rPr>
          <w:rFonts w:hint="eastAsia" w:ascii="仿宋_GB2312" w:hAnsi="仿宋_GB2312" w:eastAsia="仿宋_GB2312" w:cs="仿宋_GB2312"/>
          <w:b w:val="0"/>
          <w:bCs w:val="0"/>
          <w:color w:val="auto"/>
          <w:sz w:val="32"/>
          <w:szCs w:val="32"/>
        </w:rPr>
        <w:t>。</w:t>
      </w:r>
    </w:p>
    <w:p>
      <w:pPr>
        <w:ind w:firstLine="640" w:firstLineChars="20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优化认证检测市场环境。加强对第三方产品、体系和服务认证以及取得资质认定检验检测机构的监督管理，积极开展絮用纤维制品、学生服、纺织面料等监督抽检、品质调查、评价评估和质量监测工作。</w:t>
      </w:r>
    </w:p>
    <w:tbl>
      <w:tblPr>
        <w:tblStyle w:val="2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61" w:type="dxa"/>
          </w:tcPr>
          <w:p>
            <w:pPr>
              <w:pStyle w:val="17"/>
              <w:ind w:firstLine="560"/>
              <w:jc w:val="both"/>
              <w:rPr>
                <w:color w:val="auto"/>
                <w:sz w:val="28"/>
                <w:szCs w:val="28"/>
              </w:rPr>
            </w:pPr>
            <w:r>
              <w:rPr>
                <w:rFonts w:eastAsia="黑体"/>
                <w:color w:val="auto"/>
                <w:sz w:val="28"/>
                <w:szCs w:val="28"/>
              </w:rPr>
              <w:t>专栏9：</w:t>
            </w:r>
            <w:r>
              <w:rPr>
                <w:rFonts w:hint="eastAsia" w:eastAsia="黑体"/>
                <w:color w:val="auto"/>
                <w:sz w:val="28"/>
                <w:szCs w:val="28"/>
              </w:rPr>
              <w:t>产品质量监管行动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61" w:type="dxa"/>
          </w:tcPr>
          <w:p>
            <w:pPr>
              <w:pStyle w:val="8"/>
              <w:ind w:firstLine="562" w:firstLineChars="200"/>
              <w:rPr>
                <w:color w:val="auto"/>
              </w:rPr>
            </w:pPr>
            <w:r>
              <w:rPr>
                <w:rFonts w:hint="eastAsia" w:ascii="仿宋" w:hAnsi="仿宋" w:eastAsia="仿宋" w:cs="仿宋"/>
                <w:b/>
                <w:bCs/>
                <w:color w:val="auto"/>
                <w:sz w:val="28"/>
                <w:szCs w:val="36"/>
              </w:rPr>
              <w:t>1</w:t>
            </w:r>
            <w:r>
              <w:rPr>
                <w:rFonts w:hint="eastAsia" w:ascii="仿宋" w:hAnsi="仿宋" w:eastAsia="仿宋" w:cs="仿宋"/>
                <w:b/>
                <w:bCs/>
                <w:color w:val="auto"/>
                <w:sz w:val="28"/>
                <w:szCs w:val="28"/>
              </w:rPr>
              <w:t>.重要工业产品质量安全监管行动。</w:t>
            </w:r>
            <w:r>
              <w:rPr>
                <w:rFonts w:hint="eastAsia" w:ascii="仿宋" w:hAnsi="仿宋" w:eastAsia="仿宋" w:cs="仿宋"/>
                <w:color w:val="auto"/>
                <w:sz w:val="28"/>
                <w:szCs w:val="28"/>
              </w:rPr>
              <w:t>组织开展儿童和学生用品安全守护行动，持续组织重大工程产品、重要民生产品、新兴产品、非生产许可产品和特殊人群使用产品等重点工业产品质量安全隐患排查，强化纤维及制品等质量监督，加强危化品质量安全监管全覆盖。</w:t>
            </w:r>
          </w:p>
        </w:tc>
      </w:tr>
    </w:tbl>
    <w:p>
      <w:pPr>
        <w:pStyle w:val="5"/>
        <w:numPr>
          <w:ilvl w:val="0"/>
          <w:numId w:val="0"/>
        </w:numPr>
        <w:ind w:firstLine="643" w:firstLineChars="200"/>
        <w:jc w:val="center"/>
        <w:rPr>
          <w:rFonts w:ascii="Times New Roman" w:hAnsi="Times New Roman" w:eastAsia="楷体_GB2312" w:cs="Times New Roman"/>
          <w:snapToGrid w:val="0"/>
          <w:color w:val="auto"/>
          <w:kern w:val="0"/>
        </w:rPr>
      </w:pPr>
      <w:bookmarkStart w:id="43" w:name="_Toc77261214"/>
      <w:bookmarkStart w:id="44" w:name="_Toc77261201"/>
      <w:r>
        <w:rPr>
          <w:rFonts w:hint="eastAsia" w:ascii="Times New Roman" w:hAnsi="Times New Roman" w:eastAsia="楷体_GB2312" w:cs="Times New Roman"/>
          <w:snapToGrid w:val="0"/>
          <w:color w:val="auto"/>
          <w:kern w:val="0"/>
          <w:lang w:eastAsia="zh-CN"/>
        </w:rPr>
        <w:t>第四节</w:t>
      </w:r>
      <w:r>
        <w:rPr>
          <w:rFonts w:hint="eastAsia" w:ascii="Times New Roman" w:hAnsi="Times New Roman" w:eastAsia="楷体_GB2312" w:cs="Times New Roman"/>
          <w:snapToGrid w:val="0"/>
          <w:color w:val="auto"/>
          <w:kern w:val="0"/>
          <w:lang w:val="en-US" w:eastAsia="zh-CN"/>
        </w:rPr>
        <w:t xml:space="preserve"> </w:t>
      </w:r>
      <w:r>
        <w:rPr>
          <w:rFonts w:hint="eastAsia" w:ascii="Times New Roman" w:hAnsi="Times New Roman" w:eastAsia="楷体_GB2312" w:cs="Times New Roman"/>
          <w:snapToGrid w:val="0"/>
          <w:color w:val="auto"/>
          <w:kern w:val="0"/>
        </w:rPr>
        <w:t>旅游消费环境提升工程</w:t>
      </w:r>
      <w:bookmarkEnd w:id="43"/>
    </w:p>
    <w:p>
      <w:pPr>
        <w:pStyle w:val="36"/>
        <w:ind w:firstLine="640"/>
        <w:jc w:val="both"/>
        <w:rPr>
          <w:rFonts w:hint="eastAsia" w:ascii="仿宋_GB2312" w:eastAsia="仿宋_GB2312"/>
          <w:color w:val="auto"/>
          <w:lang w:eastAsia="zh-CN" w:bidi="ar"/>
        </w:rPr>
      </w:pPr>
      <w:r>
        <w:rPr>
          <w:rFonts w:hint="eastAsia" w:ascii="仿宋_GB2312" w:eastAsia="仿宋_GB2312"/>
          <w:color w:val="auto"/>
          <w:lang w:bidi="ar"/>
        </w:rPr>
        <w:t>围绕乐山建设重要旅游目的地的战略定位，服务乐山建设具有巴蜀特色的区域消费中心</w:t>
      </w:r>
      <w:r>
        <w:rPr>
          <w:rFonts w:hint="eastAsia" w:ascii="仿宋_GB2312" w:eastAsia="仿宋_GB2312"/>
          <w:color w:val="auto"/>
          <w:lang w:eastAsia="zh-CN" w:bidi="ar"/>
        </w:rPr>
        <w:t>，努力把乐山建成具有国际范、中国味、嘉州韵的世界重要旅游目的地，</w:t>
      </w:r>
      <w:r>
        <w:rPr>
          <w:rFonts w:hint="eastAsia" w:ascii="仿宋_GB2312" w:eastAsia="仿宋_GB2312"/>
          <w:color w:val="auto"/>
          <w:lang w:bidi="ar"/>
        </w:rPr>
        <w:t>树立人人是风景、处处是环境的发展理念，营造放心舒心消费环境</w:t>
      </w:r>
      <w:r>
        <w:rPr>
          <w:rFonts w:hint="eastAsia" w:ascii="仿宋_GB2312" w:eastAsia="仿宋_GB2312"/>
          <w:color w:val="auto"/>
          <w:lang w:eastAsia="zh-CN" w:bidi="ar"/>
        </w:rPr>
        <w:t>，强化消费维权，增强消费信心，激发消费活力。</w:t>
      </w:r>
    </w:p>
    <w:p>
      <w:pPr>
        <w:pStyle w:val="36"/>
        <w:ind w:firstLine="835" w:firstLineChars="261"/>
        <w:jc w:val="both"/>
        <w:outlineLvl w:val="2"/>
        <w:rPr>
          <w:rFonts w:hint="eastAsia" w:ascii="黑体" w:hAnsi="黑体" w:eastAsia="黑体" w:cs="黑体"/>
          <w:b w:val="0"/>
          <w:bCs w:val="0"/>
          <w:snapToGrid w:val="0"/>
          <w:color w:val="auto"/>
          <w:lang w:bidi="ar"/>
        </w:rPr>
      </w:pPr>
      <w:bookmarkStart w:id="45" w:name="_Toc77261215"/>
      <w:r>
        <w:rPr>
          <w:rFonts w:hint="eastAsia" w:ascii="黑体" w:hAnsi="黑体" w:eastAsia="黑体" w:cs="黑体"/>
          <w:b w:val="0"/>
          <w:bCs w:val="0"/>
          <w:snapToGrid w:val="0"/>
          <w:color w:val="auto"/>
          <w:lang w:eastAsia="zh-CN" w:bidi="ar"/>
        </w:rPr>
        <w:t>一、</w:t>
      </w:r>
      <w:r>
        <w:rPr>
          <w:rFonts w:hint="eastAsia" w:ascii="黑体" w:hAnsi="黑体" w:eastAsia="黑体" w:cs="黑体"/>
          <w:b w:val="0"/>
          <w:bCs w:val="0"/>
          <w:snapToGrid w:val="0"/>
          <w:color w:val="auto"/>
          <w:lang w:bidi="ar"/>
        </w:rPr>
        <w:t>强化消费维权</w:t>
      </w:r>
      <w:bookmarkEnd w:id="45"/>
    </w:p>
    <w:p>
      <w:pPr>
        <w:pStyle w:val="36"/>
        <w:ind w:firstLine="640"/>
        <w:jc w:val="both"/>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lang w:val="en-US" w:eastAsia="zh-CN"/>
        </w:rPr>
        <w:t xml:space="preserve"> </w:t>
      </w:r>
      <w:r>
        <w:rPr>
          <w:rFonts w:hint="eastAsia" w:ascii="仿宋_GB2312" w:hAnsi="仿宋_GB2312" w:eastAsia="仿宋_GB2312" w:cs="仿宋_GB2312"/>
          <w:snapToGrid w:val="0"/>
          <w:color w:val="auto"/>
          <w:sz w:val="32"/>
          <w:szCs w:val="32"/>
        </w:rPr>
        <w:t>加强消费维权制度建设。落实市场主体消费争议“三包”责任，拓展“三包”政策应用范围。对生活美容、美发、健身、干洗等行业市场主</w:t>
      </w:r>
      <w:r>
        <w:rPr>
          <w:rFonts w:hint="eastAsia" w:ascii="仿宋_GB2312" w:hAnsi="仿宋_GB2312" w:eastAsia="仿宋_GB2312" w:cs="仿宋_GB2312"/>
          <w:snapToGrid w:val="0"/>
          <w:color w:val="auto"/>
          <w:sz w:val="32"/>
          <w:szCs w:val="32"/>
          <w:lang w:eastAsia="zh-CN"/>
        </w:rPr>
        <w:t>体，</w:t>
      </w:r>
      <w:r>
        <w:rPr>
          <w:rFonts w:hint="eastAsia" w:ascii="仿宋_GB2312" w:hAnsi="仿宋_GB2312" w:eastAsia="仿宋_GB2312" w:cs="仿宋_GB2312"/>
          <w:snapToGrid w:val="0"/>
          <w:color w:val="auto"/>
          <w:sz w:val="32"/>
          <w:szCs w:val="32"/>
        </w:rPr>
        <w:t>协同推</w:t>
      </w:r>
      <w:r>
        <w:rPr>
          <w:rFonts w:hint="eastAsia" w:ascii="仿宋_GB2312" w:hAnsi="仿宋_GB2312" w:eastAsia="仿宋_GB2312" w:cs="仿宋_GB2312"/>
          <w:snapToGrid w:val="0"/>
          <w:color w:val="auto"/>
          <w:sz w:val="32"/>
          <w:szCs w:val="32"/>
          <w:lang w:eastAsia="zh-CN"/>
        </w:rPr>
        <w:t>进</w:t>
      </w:r>
      <w:r>
        <w:rPr>
          <w:rFonts w:hint="eastAsia" w:ascii="仿宋_GB2312" w:hAnsi="仿宋_GB2312" w:eastAsia="仿宋_GB2312" w:cs="仿宋_GB2312"/>
          <w:snapToGrid w:val="0"/>
          <w:color w:val="auto"/>
          <w:sz w:val="32"/>
          <w:szCs w:val="32"/>
        </w:rPr>
        <w:t>预付卡消费部门联动治理。深化拓展消费者满意度指数应用。推广消费投诉公示制度，加强消费市场信用建设。推进12315热线和12345热线“双号并行”，探索建立维权处理结果消费者反馈评价机制。落实《重要旅游购物场所30日无理由退换货制度》。消费投诉按期办结率达到98%，举报按期核查率达到98%。</w:t>
      </w:r>
    </w:p>
    <w:p>
      <w:pPr>
        <w:pStyle w:val="36"/>
        <w:ind w:firstLine="640"/>
        <w:jc w:val="both"/>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lang w:val="en-US" w:eastAsia="zh-CN"/>
        </w:rPr>
        <w:t xml:space="preserve"> </w:t>
      </w:r>
      <w:r>
        <w:rPr>
          <w:rFonts w:hint="eastAsia" w:ascii="仿宋_GB2312" w:hAnsi="仿宋_GB2312" w:eastAsia="仿宋_GB2312" w:cs="仿宋_GB2312"/>
          <w:snapToGrid w:val="0"/>
          <w:color w:val="auto"/>
          <w:sz w:val="32"/>
          <w:szCs w:val="32"/>
        </w:rPr>
        <w:t>建立快捷处理机制。简化消费争议处理程序，完善在线投诉和处置功能，不断提高“互联网+快捷维权”覆盖率。进一步优化消费投诉处理程序，推动小额消费纠纷案件快速处理。推动落实线下无理由退货、首问和赔偿先付制度。探索建立消费者权益保护跨区域联动机制，加强消费纠纷异地投诉和处理工作。建立健全诉转案、诉调对接。</w:t>
      </w:r>
    </w:p>
    <w:p>
      <w:pPr>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构建多维维权体系。充分发挥</w:t>
      </w:r>
      <w:r>
        <w:rPr>
          <w:rFonts w:hint="eastAsia" w:ascii="仿宋_GB2312" w:hAnsi="仿宋_GB2312" w:eastAsia="仿宋_GB2312" w:cs="仿宋_GB2312"/>
          <w:snapToGrid w:val="0"/>
          <w:color w:val="auto"/>
          <w:kern w:val="0"/>
          <w:sz w:val="32"/>
          <w:szCs w:val="32"/>
          <w:lang w:eastAsia="zh-CN"/>
        </w:rPr>
        <w:t>消委会</w:t>
      </w:r>
      <w:r>
        <w:rPr>
          <w:rFonts w:hint="eastAsia" w:ascii="仿宋_GB2312" w:hAnsi="仿宋_GB2312" w:eastAsia="仿宋_GB2312" w:cs="仿宋_GB2312"/>
          <w:snapToGrid w:val="0"/>
          <w:color w:val="auto"/>
          <w:kern w:val="0"/>
          <w:sz w:val="32"/>
          <w:szCs w:val="32"/>
        </w:rPr>
        <w:t>维护消费者权益的积极作用，推进维权体系和维权能力现代化。加强基层维权组织建设，高效解决消法争议；开辟老年人、农民、学生等消费群体快速维权“绿色通道”，努力提高维权效能。聚焦消费等领域出现的</w:t>
      </w:r>
      <w:r>
        <w:rPr>
          <w:rFonts w:hint="eastAsia" w:ascii="仿宋_GB2312" w:hAnsi="仿宋_GB2312" w:eastAsia="仿宋_GB2312" w:cs="仿宋_GB2312"/>
          <w:snapToGrid w:val="0"/>
          <w:color w:val="auto"/>
          <w:kern w:val="0"/>
          <w:sz w:val="32"/>
          <w:szCs w:val="32"/>
          <w:lang w:eastAsia="zh-CN"/>
        </w:rPr>
        <w:t>新</w:t>
      </w:r>
      <w:r>
        <w:rPr>
          <w:rFonts w:hint="eastAsia" w:ascii="仿宋_GB2312" w:hAnsi="仿宋_GB2312" w:eastAsia="仿宋_GB2312" w:cs="仿宋_GB2312"/>
          <w:snapToGrid w:val="0"/>
          <w:color w:val="auto"/>
          <w:kern w:val="0"/>
          <w:sz w:val="32"/>
          <w:szCs w:val="32"/>
        </w:rPr>
        <w:t>问题，传播科学文明的商品和服务知识等信息，通过宣传普及消费维权知识的，提高消费者的主体意识和依法维权能力，营造重视消费者权益保护的良好氛围。</w:t>
      </w:r>
    </w:p>
    <w:p>
      <w:pPr>
        <w:pStyle w:val="36"/>
        <w:ind w:firstLine="835" w:firstLineChars="261"/>
        <w:jc w:val="both"/>
        <w:outlineLvl w:val="2"/>
        <w:rPr>
          <w:rFonts w:hint="eastAsia" w:ascii="黑体" w:hAnsi="黑体" w:eastAsia="黑体" w:cs="黑体"/>
          <w:b w:val="0"/>
          <w:bCs w:val="0"/>
          <w:snapToGrid w:val="0"/>
          <w:color w:val="auto"/>
          <w:lang w:bidi="ar"/>
        </w:rPr>
      </w:pPr>
      <w:bookmarkStart w:id="46" w:name="_Toc77261216"/>
      <w:r>
        <w:rPr>
          <w:rFonts w:hint="eastAsia" w:ascii="黑体" w:hAnsi="黑体" w:eastAsia="黑体" w:cs="黑体"/>
          <w:b w:val="0"/>
          <w:bCs w:val="0"/>
          <w:snapToGrid w:val="0"/>
          <w:color w:val="auto"/>
          <w:lang w:eastAsia="zh-CN" w:bidi="ar"/>
        </w:rPr>
        <w:t>二、</w:t>
      </w:r>
      <w:r>
        <w:rPr>
          <w:rFonts w:hint="eastAsia" w:ascii="黑体" w:hAnsi="黑体" w:eastAsia="黑体" w:cs="黑体"/>
          <w:b w:val="0"/>
          <w:bCs w:val="0"/>
          <w:snapToGrid w:val="0"/>
          <w:color w:val="auto"/>
          <w:lang w:bidi="ar"/>
        </w:rPr>
        <w:t>改善消费环境</w:t>
      </w:r>
      <w:bookmarkEnd w:id="46"/>
    </w:p>
    <w:p>
      <w:pPr>
        <w:pStyle w:val="36"/>
        <w:ind w:firstLine="640"/>
        <w:jc w:val="both"/>
        <w:rPr>
          <w:rFonts w:hint="eastAsia" w:ascii="仿宋_GB2312" w:hAnsi="仿宋_GB2312" w:eastAsia="仿宋_GB2312" w:cs="仿宋_GB2312"/>
          <w:b w:val="0"/>
          <w:bCs w:val="0"/>
          <w:snapToGrid w:val="0"/>
          <w:color w:val="auto"/>
        </w:rPr>
      </w:pPr>
      <w:r>
        <w:rPr>
          <w:rFonts w:hint="eastAsia" w:ascii="仿宋_GB2312" w:hAnsi="仿宋_GB2312" w:eastAsia="仿宋_GB2312" w:cs="仿宋_GB2312"/>
          <w:snapToGrid w:val="0"/>
          <w:color w:val="auto"/>
          <w:lang w:val="en-US" w:eastAsia="zh-CN"/>
        </w:rPr>
        <w:t xml:space="preserve"> </w:t>
      </w:r>
      <w:r>
        <w:rPr>
          <w:rFonts w:hint="eastAsia" w:ascii="仿宋_GB2312" w:hAnsi="仿宋_GB2312" w:eastAsia="仿宋_GB2312" w:cs="仿宋_GB2312"/>
          <w:b w:val="0"/>
          <w:bCs w:val="0"/>
          <w:snapToGrid w:val="0"/>
          <w:color w:val="auto"/>
          <w:lang w:eastAsia="zh-CN"/>
        </w:rPr>
        <w:t>深入开展</w:t>
      </w:r>
      <w:r>
        <w:rPr>
          <w:rFonts w:hint="eastAsia" w:ascii="仿宋_GB2312" w:hAnsi="仿宋_GB2312" w:eastAsia="仿宋_GB2312" w:cs="仿宋_GB2312"/>
          <w:b w:val="0"/>
          <w:bCs w:val="0"/>
          <w:snapToGrid w:val="0"/>
          <w:color w:val="auto"/>
        </w:rPr>
        <w:t>示范创建。持续深入开展放心舒心消费环境“N+1”示范</w:t>
      </w:r>
      <w:r>
        <w:rPr>
          <w:rFonts w:hint="eastAsia" w:ascii="仿宋_GB2312" w:hAnsi="仿宋_GB2312" w:eastAsia="仿宋_GB2312" w:cs="仿宋_GB2312"/>
          <w:b w:val="0"/>
          <w:bCs w:val="0"/>
          <w:snapToGrid w:val="0"/>
          <w:color w:val="auto"/>
          <w:lang w:eastAsia="zh-CN"/>
        </w:rPr>
        <w:t>创建</w:t>
      </w:r>
      <w:r>
        <w:rPr>
          <w:rFonts w:hint="eastAsia" w:ascii="仿宋_GB2312" w:hAnsi="仿宋_GB2312" w:eastAsia="仿宋_GB2312" w:cs="仿宋_GB2312"/>
          <w:b w:val="0"/>
          <w:bCs w:val="0"/>
          <w:snapToGrid w:val="0"/>
          <w:color w:val="auto"/>
        </w:rPr>
        <w:t>工程，鼓励引导区县拓展“一店一码+市场监管”功能，完善“诚信乐山消费信用公示与服务平台”数据资源，多形式提升“诚信消费平台”关注量、应用推广度，推动部门间信息共建共享，提升消费环境的监管效率和消费者的满意度。开展市场综合整治，强化消费者权益保护。着力培育创建一批放心舒心消费环境示范街（区）、示范景区、示范商场（企业）、示范店、示范行业，持续开展旅游业放心舒心消费环境创建，形成条块推进、上下联动的创建态势。</w:t>
      </w:r>
    </w:p>
    <w:p>
      <w:pPr>
        <w:pStyle w:val="36"/>
        <w:ind w:firstLine="640"/>
        <w:jc w:val="both"/>
        <w:rPr>
          <w:rFonts w:hint="eastAsia" w:ascii="仿宋_GB2312" w:hAnsi="仿宋_GB2312" w:eastAsia="仿宋_GB2312" w:cs="仿宋_GB2312"/>
          <w:b w:val="0"/>
          <w:bCs w:val="0"/>
          <w:snapToGrid w:val="0"/>
          <w:color w:val="auto"/>
        </w:rPr>
      </w:pPr>
      <w:r>
        <w:rPr>
          <w:rFonts w:hint="eastAsia" w:ascii="仿宋_GB2312" w:hAnsi="仿宋_GB2312" w:eastAsia="仿宋_GB2312" w:cs="仿宋_GB2312"/>
          <w:b w:val="0"/>
          <w:bCs w:val="0"/>
          <w:snapToGrid w:val="0"/>
          <w:color w:val="auto"/>
          <w:lang w:val="en-US" w:eastAsia="zh-CN"/>
        </w:rPr>
        <w:t xml:space="preserve"> </w:t>
      </w:r>
      <w:r>
        <w:rPr>
          <w:rFonts w:hint="eastAsia" w:ascii="仿宋_GB2312" w:hAnsi="仿宋_GB2312" w:eastAsia="仿宋_GB2312" w:cs="仿宋_GB2312"/>
          <w:b w:val="0"/>
          <w:bCs w:val="0"/>
          <w:snapToGrid w:val="0"/>
          <w:color w:val="auto"/>
        </w:rPr>
        <w:t>实施标准化建设。探索建立《乐山市创建放心舒心消费城市示范街区标准》、《乐山市创建放心舒心消费城市示范行业标准》、《乐山市创建放心舒心消费城市特色小镇标准》、《乐山市创建放心舒心消费城市示范店标准》，对标开展创建。</w:t>
      </w:r>
    </w:p>
    <w:p>
      <w:pPr>
        <w:pStyle w:val="36"/>
        <w:ind w:firstLine="640"/>
        <w:jc w:val="both"/>
        <w:rPr>
          <w:rFonts w:hint="eastAsia" w:ascii="仿宋_GB2312" w:hAnsi="仿宋_GB2312" w:eastAsia="仿宋_GB2312" w:cs="仿宋_GB2312"/>
          <w:b w:val="0"/>
          <w:bCs w:val="0"/>
          <w:snapToGrid w:val="0"/>
          <w:color w:val="auto"/>
        </w:rPr>
      </w:pPr>
      <w:r>
        <w:rPr>
          <w:rFonts w:hint="eastAsia" w:ascii="仿宋_GB2312" w:hAnsi="仿宋_GB2312" w:eastAsia="仿宋_GB2312" w:cs="仿宋_GB2312"/>
          <w:b w:val="0"/>
          <w:bCs w:val="0"/>
          <w:snapToGrid w:val="0"/>
          <w:color w:val="auto"/>
          <w:lang w:val="en-US" w:eastAsia="zh-CN"/>
        </w:rPr>
        <w:t xml:space="preserve"> </w:t>
      </w:r>
      <w:r>
        <w:rPr>
          <w:rFonts w:hint="eastAsia" w:ascii="仿宋_GB2312" w:hAnsi="仿宋_GB2312" w:eastAsia="仿宋_GB2312" w:cs="仿宋_GB2312"/>
          <w:b w:val="0"/>
          <w:bCs w:val="0"/>
          <w:snapToGrid w:val="0"/>
          <w:color w:val="auto"/>
        </w:rPr>
        <w:t>开展旅游市场专项整治。以旅游场所的食品、旅游商品质量、落实旅游价格政策和明码标价制度和旅游场所特种设备安全监管为重点，开展专项整治，营造良好的旅游发展环境。</w:t>
      </w:r>
      <w:r>
        <w:rPr>
          <w:rFonts w:hint="eastAsia" w:ascii="仿宋_GB2312" w:hAnsi="仿宋_GB2312" w:eastAsia="仿宋_GB2312" w:cs="仿宋_GB2312"/>
          <w:b w:val="0"/>
          <w:bCs w:val="0"/>
          <w:snapToGrid w:val="0"/>
          <w:color w:val="auto"/>
          <w:lang w:eastAsia="zh-CN"/>
        </w:rPr>
        <w:t>推动</w:t>
      </w:r>
      <w:r>
        <w:rPr>
          <w:rFonts w:hint="eastAsia" w:ascii="仿宋_GB2312" w:hAnsi="仿宋_GB2312" w:eastAsia="仿宋_GB2312" w:cs="仿宋_GB2312"/>
          <w:b w:val="0"/>
          <w:bCs w:val="0"/>
          <w:snapToGrid w:val="0"/>
          <w:color w:val="auto"/>
        </w:rPr>
        <w:t>《重要旅游购物场所30日无理由退换货制度》的落实。</w:t>
      </w:r>
    </w:p>
    <w:p>
      <w:pPr>
        <w:pStyle w:val="36"/>
        <w:ind w:firstLine="640"/>
        <w:rPr>
          <w:rFonts w:hint="eastAsia" w:ascii="仿宋_GB2312" w:hAnsi="仿宋_GB2312" w:eastAsia="仿宋_GB2312" w:cs="仿宋_GB2312"/>
          <w:b w:val="0"/>
          <w:bCs w:val="0"/>
          <w:snapToGrid w:val="0"/>
          <w:color w:val="auto"/>
        </w:rPr>
      </w:pPr>
    </w:p>
    <w:tbl>
      <w:tblPr>
        <w:tblStyle w:val="2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61" w:type="dxa"/>
            <w:tcBorders>
              <w:top w:val="single" w:color="auto" w:sz="4" w:space="0"/>
              <w:left w:val="single" w:color="auto" w:sz="4" w:space="0"/>
              <w:bottom w:val="single" w:color="auto" w:sz="4" w:space="0"/>
              <w:right w:val="single" w:color="auto" w:sz="4" w:space="0"/>
            </w:tcBorders>
          </w:tcPr>
          <w:p>
            <w:pPr>
              <w:pStyle w:val="17"/>
              <w:jc w:val="both"/>
              <w:rPr>
                <w:color w:val="auto"/>
                <w:sz w:val="28"/>
                <w:szCs w:val="28"/>
              </w:rPr>
            </w:pPr>
            <w:r>
              <w:rPr>
                <w:rFonts w:hint="eastAsia" w:eastAsia="黑体"/>
                <w:color w:val="auto"/>
                <w:sz w:val="28"/>
                <w:szCs w:val="28"/>
                <w:lang w:eastAsia="zh-CN"/>
              </w:rPr>
              <w:t>　　</w:t>
            </w:r>
            <w:r>
              <w:rPr>
                <w:rFonts w:hint="eastAsia" w:eastAsia="黑体"/>
                <w:color w:val="auto"/>
                <w:sz w:val="28"/>
                <w:szCs w:val="28"/>
              </w:rPr>
              <w:t>专栏</w:t>
            </w:r>
            <w:r>
              <w:rPr>
                <w:rFonts w:eastAsia="黑体"/>
                <w:color w:val="auto"/>
                <w:sz w:val="28"/>
                <w:szCs w:val="28"/>
              </w:rPr>
              <w:t>1</w:t>
            </w:r>
            <w:r>
              <w:rPr>
                <w:rFonts w:hint="eastAsia" w:eastAsia="黑体"/>
                <w:color w:val="auto"/>
                <w:sz w:val="28"/>
                <w:szCs w:val="28"/>
                <w:lang w:val="en-US" w:eastAsia="zh-CN"/>
              </w:rPr>
              <w:t>0</w:t>
            </w:r>
            <w:r>
              <w:rPr>
                <w:rFonts w:hint="eastAsia" w:eastAsia="黑体"/>
                <w:color w:val="auto"/>
                <w:sz w:val="28"/>
                <w:szCs w:val="28"/>
              </w:rPr>
              <w:t>：放心舒心消费环境创建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61" w:type="dxa"/>
            <w:tcBorders>
              <w:top w:val="single" w:color="auto" w:sz="4" w:space="0"/>
              <w:left w:val="single" w:color="auto" w:sz="4" w:space="0"/>
              <w:bottom w:val="single" w:color="auto" w:sz="4" w:space="0"/>
              <w:right w:val="single" w:color="auto" w:sz="4" w:space="0"/>
            </w:tcBorders>
          </w:tcPr>
          <w:p>
            <w:pPr>
              <w:pStyle w:val="8"/>
              <w:ind w:firstLine="560" w:firstLineChars="200"/>
              <w:rPr>
                <w:rFonts w:ascii="仿宋_GB2312" w:hAnsi="仿宋" w:eastAsia="仿宋_GB2312" w:cs="仿宋"/>
                <w:bCs/>
                <w:color w:val="auto"/>
                <w:sz w:val="28"/>
                <w:szCs w:val="28"/>
              </w:rPr>
            </w:pPr>
            <w:r>
              <w:rPr>
                <w:rFonts w:hint="eastAsia" w:ascii="仿宋_GB2312" w:hAnsi="仿宋" w:eastAsia="仿宋_GB2312" w:cs="仿宋"/>
                <w:bCs/>
                <w:color w:val="auto"/>
                <w:sz w:val="28"/>
                <w:szCs w:val="28"/>
              </w:rPr>
              <w:t>1.探索建立放心舒心消费环境示范街区、示范行业、</w:t>
            </w:r>
            <w:r>
              <w:rPr>
                <w:rFonts w:hint="eastAsia" w:ascii="仿宋_GB2312" w:hAnsi="仿宋" w:eastAsia="仿宋_GB2312" w:cs="仿宋"/>
                <w:bCs/>
                <w:color w:val="auto"/>
                <w:sz w:val="28"/>
                <w:szCs w:val="28"/>
                <w:lang w:eastAsia="zh-CN"/>
              </w:rPr>
              <w:t>重点城</w:t>
            </w:r>
            <w:r>
              <w:rPr>
                <w:rFonts w:hint="eastAsia" w:ascii="仿宋_GB2312" w:hAnsi="仿宋" w:eastAsia="仿宋_GB2312" w:cs="仿宋"/>
                <w:bCs/>
                <w:color w:val="auto"/>
                <w:sz w:val="28"/>
                <w:szCs w:val="28"/>
              </w:rPr>
              <w:t>镇、示范店创建标准，对标开展创建。</w:t>
            </w:r>
          </w:p>
          <w:p>
            <w:pPr>
              <w:rPr>
                <w:rFonts w:hint="eastAsia" w:ascii="仿宋_GB2312" w:hAnsi="仿宋" w:eastAsia="仿宋_GB2312"/>
                <w:bCs/>
                <w:color w:val="auto"/>
                <w:sz w:val="28"/>
                <w:szCs w:val="28"/>
                <w:lang w:eastAsia="zh-CN"/>
              </w:rPr>
            </w:pPr>
            <w:r>
              <w:rPr>
                <w:rFonts w:hint="eastAsia" w:ascii="仿宋_GB2312" w:eastAsia="仿宋_GB2312"/>
                <w:bCs/>
                <w:color w:val="auto"/>
              </w:rPr>
              <w:t xml:space="preserve">   </w:t>
            </w:r>
            <w:r>
              <w:rPr>
                <w:rFonts w:hint="eastAsia" w:ascii="仿宋_GB2312" w:eastAsia="仿宋_GB2312"/>
                <w:bCs/>
                <w:color w:val="auto"/>
                <w:sz w:val="28"/>
                <w:szCs w:val="28"/>
              </w:rPr>
              <w:t xml:space="preserve">  </w:t>
            </w:r>
            <w:r>
              <w:rPr>
                <w:rFonts w:hint="eastAsia" w:ascii="仿宋_GB2312" w:hAnsi="仿宋" w:eastAsia="仿宋_GB2312"/>
                <w:bCs/>
                <w:color w:val="auto"/>
                <w:sz w:val="28"/>
                <w:szCs w:val="28"/>
              </w:rPr>
              <w:t>2.加强消费维权制度建设，实行消费投诉公示制度，探索消费市场信用建设，探索建立维权处理结果消费者反馈评价机制和《重要旅游购物场所30日无理由退换货制度》</w:t>
            </w:r>
            <w:r>
              <w:rPr>
                <w:rFonts w:hint="eastAsia" w:ascii="仿宋_GB2312" w:hAnsi="仿宋" w:eastAsia="仿宋_GB2312"/>
                <w:bCs/>
                <w:color w:val="auto"/>
                <w:sz w:val="28"/>
                <w:szCs w:val="28"/>
                <w:lang w:eastAsia="zh-CN"/>
              </w:rPr>
              <w:t>。</w:t>
            </w:r>
          </w:p>
          <w:p>
            <w:pPr>
              <w:rPr>
                <w:rFonts w:ascii="仿宋" w:hAnsi="仿宋" w:eastAsia="仿宋"/>
                <w:b/>
                <w:color w:val="auto"/>
                <w:sz w:val="28"/>
                <w:szCs w:val="28"/>
              </w:rPr>
            </w:pPr>
            <w:r>
              <w:rPr>
                <w:rFonts w:hint="eastAsia" w:ascii="仿宋_GB2312" w:hAnsi="仿宋" w:eastAsia="仿宋_GB2312"/>
                <w:bCs/>
                <w:color w:val="auto"/>
                <w:sz w:val="28"/>
                <w:szCs w:val="28"/>
              </w:rPr>
              <w:t xml:space="preserve">    3.对通过全国12315平台热线、网络、在线协商和解和放心舒心消费环境创建平台等渠道的投诉、举报按期核查、按期办结。</w:t>
            </w:r>
          </w:p>
        </w:tc>
      </w:tr>
    </w:tbl>
    <w:p>
      <w:pPr>
        <w:pStyle w:val="36"/>
        <w:ind w:firstLine="835" w:firstLineChars="261"/>
        <w:jc w:val="both"/>
        <w:outlineLvl w:val="2"/>
        <w:rPr>
          <w:rFonts w:hint="eastAsia" w:ascii="黑体" w:hAnsi="黑体" w:eastAsia="黑体" w:cs="黑体"/>
          <w:b w:val="0"/>
          <w:bCs w:val="0"/>
          <w:snapToGrid w:val="0"/>
          <w:color w:val="auto"/>
          <w:lang w:bidi="ar"/>
        </w:rPr>
      </w:pPr>
      <w:bookmarkStart w:id="47" w:name="_Toc77261217"/>
      <w:r>
        <w:rPr>
          <w:rFonts w:hint="eastAsia" w:ascii="黑体" w:hAnsi="黑体" w:eastAsia="黑体" w:cs="黑体"/>
          <w:b w:val="0"/>
          <w:bCs w:val="0"/>
          <w:snapToGrid w:val="0"/>
          <w:color w:val="auto"/>
          <w:lang w:eastAsia="zh-CN" w:bidi="ar"/>
        </w:rPr>
        <w:t>三、突出</w:t>
      </w:r>
      <w:r>
        <w:rPr>
          <w:rFonts w:hint="eastAsia" w:ascii="黑体" w:hAnsi="黑体" w:eastAsia="黑体" w:cs="黑体"/>
          <w:b w:val="0"/>
          <w:bCs w:val="0"/>
          <w:snapToGrid w:val="0"/>
          <w:color w:val="auto"/>
          <w:lang w:bidi="ar"/>
        </w:rPr>
        <w:t>重点领域</w:t>
      </w:r>
      <w:bookmarkEnd w:id="47"/>
    </w:p>
    <w:p>
      <w:pPr>
        <w:pStyle w:val="18"/>
        <w:keepNext w:val="0"/>
        <w:keepLines w:val="0"/>
        <w:widowControl/>
        <w:suppressLineNumbers w:val="0"/>
        <w:shd w:val="clear" w:fill="FFFFFF"/>
        <w:wordWrap/>
        <w:spacing w:before="0" w:beforeAutospacing="0" w:after="0" w:afterAutospacing="0"/>
        <w:ind w:left="0" w:right="0" w:firstLine="0"/>
        <w:jc w:val="left"/>
        <w:rPr>
          <w:rFonts w:hint="eastAsia" w:ascii="仿宋_GB2312" w:hAnsi="仿宋_GB2312" w:eastAsia="仿宋_GB2312" w:cs="仿宋_GB2312"/>
          <w:b w:val="0"/>
          <w:bCs w:val="0"/>
          <w:color w:val="auto"/>
          <w:sz w:val="32"/>
          <w:szCs w:val="32"/>
        </w:rPr>
      </w:pPr>
      <w:r>
        <w:rPr>
          <w:rFonts w:hint="eastAsia" w:ascii="楷体_GB2312" w:eastAsia="楷体_GB2312" w:cs="Times New Roman"/>
          <w:b w:val="0"/>
          <w:bCs w:val="0"/>
          <w:snapToGrid w:val="0"/>
          <w:color w:val="auto"/>
          <w:sz w:val="32"/>
          <w:szCs w:val="36"/>
          <w:lang w:eastAsia="zh-CN" w:bidi="ar"/>
        </w:rPr>
        <w:t>　　</w:t>
      </w:r>
      <w:r>
        <w:rPr>
          <w:rFonts w:hint="eastAsia" w:ascii="仿宋_GB2312" w:hAnsi="仿宋_GB2312" w:eastAsia="仿宋_GB2312" w:cs="仿宋_GB2312"/>
          <w:b w:val="0"/>
          <w:bCs w:val="0"/>
          <w:snapToGrid w:val="0"/>
          <w:color w:val="auto"/>
          <w:sz w:val="32"/>
          <w:szCs w:val="32"/>
          <w:lang w:val="en-US" w:eastAsia="zh-CN" w:bidi="ar"/>
        </w:rPr>
        <w:t xml:space="preserve"> </w:t>
      </w:r>
      <w:r>
        <w:rPr>
          <w:rFonts w:hint="eastAsia" w:ascii="仿宋_GB2312" w:hAnsi="仿宋_GB2312" w:eastAsia="仿宋_GB2312" w:cs="仿宋_GB2312"/>
          <w:b w:val="0"/>
          <w:bCs w:val="0"/>
          <w:snapToGrid w:val="0"/>
          <w:color w:val="auto"/>
          <w:sz w:val="32"/>
          <w:szCs w:val="32"/>
          <w:lang w:bidi="ar"/>
        </w:rPr>
        <w:t>强化价格监管。</w:t>
      </w:r>
      <w:r>
        <w:rPr>
          <w:rFonts w:hint="eastAsia" w:ascii="仿宋_GB2312" w:hAnsi="仿宋_GB2312" w:eastAsia="仿宋_GB2312" w:cs="仿宋_GB2312"/>
          <w:b w:val="0"/>
          <w:bCs w:val="0"/>
          <w:snapToGrid w:val="0"/>
          <w:color w:val="auto"/>
          <w:kern w:val="0"/>
          <w:sz w:val="32"/>
          <w:szCs w:val="32"/>
          <w:lang w:val="en-US" w:eastAsia="zh-CN" w:bidi="ar-SA"/>
        </w:rPr>
        <w:t>加强教育、殡葬、医疗、养老等民生领域收费监管，切实维护群众价格权益。推进价格政策制定和价格监管执法的衔接联动，落实惠企收费政策，降低企业用能、用气和物流成本，确保国家政策红利落地落实。强化行政事业性收费监督检查，加强行政审批中介服务、行业协会收费监管。建立跨部门价格协同监管机制，严厉打击哄抬价格、囤积居奇、价格欺诈等价格违法行为。</w:t>
      </w:r>
    </w:p>
    <w:p>
      <w:pPr>
        <w:pStyle w:val="36"/>
        <w:ind w:firstLine="640"/>
        <w:jc w:val="both"/>
        <w:rPr>
          <w:rFonts w:hint="eastAsia" w:ascii="仿宋_GB2312" w:hAnsi="仿宋_GB2312" w:eastAsia="仿宋_GB2312" w:cs="仿宋_GB2312"/>
          <w:b w:val="0"/>
          <w:bCs w:val="0"/>
          <w:snapToGrid w:val="0"/>
          <w:color w:val="auto"/>
          <w:kern w:val="0"/>
          <w:sz w:val="32"/>
          <w:szCs w:val="32"/>
        </w:rPr>
      </w:pPr>
      <w:r>
        <w:rPr>
          <w:rFonts w:hint="eastAsia" w:ascii="仿宋_GB2312" w:hAnsi="仿宋_GB2312" w:eastAsia="仿宋_GB2312" w:cs="仿宋_GB2312"/>
          <w:b w:val="0"/>
          <w:bCs w:val="0"/>
          <w:snapToGrid w:val="0"/>
          <w:color w:val="auto"/>
          <w:sz w:val="32"/>
          <w:szCs w:val="32"/>
          <w:lang w:val="en-US" w:eastAsia="zh-CN" w:bidi="ar"/>
        </w:rPr>
        <w:t xml:space="preserve"> </w:t>
      </w:r>
      <w:r>
        <w:rPr>
          <w:rFonts w:hint="eastAsia" w:ascii="仿宋_GB2312" w:hAnsi="仿宋_GB2312" w:eastAsia="仿宋_GB2312" w:cs="仿宋_GB2312"/>
          <w:b w:val="0"/>
          <w:bCs w:val="0"/>
          <w:snapToGrid w:val="0"/>
          <w:color w:val="auto"/>
          <w:sz w:val="32"/>
          <w:szCs w:val="32"/>
          <w:lang w:bidi="ar"/>
        </w:rPr>
        <w:t>深化广告监管。</w:t>
      </w:r>
      <w:r>
        <w:rPr>
          <w:rFonts w:hint="eastAsia" w:ascii="仿宋_GB2312" w:hAnsi="仿宋_GB2312" w:eastAsia="仿宋_GB2312" w:cs="仿宋_GB2312"/>
          <w:b w:val="0"/>
          <w:bCs w:val="0"/>
          <w:snapToGrid w:val="0"/>
          <w:color w:val="auto"/>
          <w:kern w:val="0"/>
          <w:sz w:val="32"/>
          <w:szCs w:val="32"/>
        </w:rPr>
        <w:t>突出广告导向监管，及时从重从快查处涉及导向问题、政治敏感性问题以及造成恶劣社会影响的违法广告。狠抓医疗、美容、药品、保健食品、金融投资理财、教育培训、房地产等事关人民群众健康和财产安全的重点领域广告行为监管，做好网络直播营销广告监管工作。</w:t>
      </w:r>
      <w:r>
        <w:rPr>
          <w:rFonts w:hint="eastAsia" w:ascii="仿宋_GB2312" w:hAnsi="仿宋_GB2312" w:eastAsia="仿宋_GB2312" w:cs="仿宋_GB2312"/>
          <w:b w:val="0"/>
          <w:bCs w:val="0"/>
          <w:snapToGrid w:val="0"/>
          <w:color w:val="auto"/>
          <w:sz w:val="32"/>
          <w:szCs w:val="32"/>
          <w:lang w:bidi="ar"/>
        </w:rPr>
        <w:t>依托省级传统媒体、互联网、户外广告监测平台，推进广告智慧监测，</w:t>
      </w:r>
      <w:r>
        <w:rPr>
          <w:rFonts w:hint="eastAsia" w:ascii="仿宋_GB2312" w:hAnsi="仿宋_GB2312" w:eastAsia="仿宋_GB2312" w:cs="仿宋_GB2312"/>
          <w:b w:val="0"/>
          <w:bCs w:val="0"/>
          <w:snapToGrid w:val="0"/>
          <w:color w:val="auto"/>
          <w:kern w:val="0"/>
          <w:sz w:val="32"/>
          <w:szCs w:val="32"/>
        </w:rPr>
        <w:t>规范监测线索处置。积极推进“广告+县域经济”合作，支持公益广告发展。</w:t>
      </w:r>
    </w:p>
    <w:p>
      <w:pPr>
        <w:pStyle w:val="36"/>
        <w:ind w:firstLine="640"/>
        <w:jc w:val="both"/>
        <w:rPr>
          <w:rFonts w:hint="eastAsia" w:ascii="仿宋_GB2312" w:hAnsi="仿宋_GB2312" w:eastAsia="仿宋_GB2312" w:cs="仿宋_GB2312"/>
          <w:b w:val="0"/>
          <w:bCs w:val="0"/>
          <w:snapToGrid w:val="0"/>
          <w:color w:val="auto"/>
          <w:sz w:val="32"/>
          <w:szCs w:val="32"/>
        </w:rPr>
      </w:pPr>
      <w:r>
        <w:rPr>
          <w:rFonts w:hint="eastAsia" w:ascii="仿宋_GB2312" w:hAnsi="仿宋_GB2312" w:eastAsia="仿宋_GB2312" w:cs="仿宋_GB2312"/>
          <w:b w:val="0"/>
          <w:bCs w:val="0"/>
          <w:snapToGrid w:val="0"/>
          <w:color w:val="auto"/>
          <w:kern w:val="2"/>
          <w:sz w:val="32"/>
          <w:szCs w:val="32"/>
          <w:lang w:val="en-US" w:eastAsia="zh-CN" w:bidi="ar"/>
        </w:rPr>
        <w:t xml:space="preserve"> </w:t>
      </w:r>
      <w:r>
        <w:rPr>
          <w:rFonts w:hint="eastAsia" w:ascii="仿宋_GB2312" w:hAnsi="仿宋_GB2312" w:eastAsia="仿宋_GB2312" w:cs="仿宋_GB2312"/>
          <w:b w:val="0"/>
          <w:bCs w:val="0"/>
          <w:snapToGrid w:val="0"/>
          <w:color w:val="auto"/>
          <w:kern w:val="2"/>
          <w:sz w:val="32"/>
          <w:szCs w:val="32"/>
          <w:lang w:bidi="ar"/>
        </w:rPr>
        <w:t>规范网络交易市场秩序。</w:t>
      </w:r>
      <w:r>
        <w:rPr>
          <w:rFonts w:hint="eastAsia" w:ascii="仿宋_GB2312" w:hAnsi="仿宋_GB2312" w:eastAsia="仿宋_GB2312" w:cs="仿宋_GB2312"/>
          <w:b w:val="0"/>
          <w:bCs w:val="0"/>
          <w:color w:val="auto"/>
          <w:sz w:val="32"/>
          <w:szCs w:val="32"/>
        </w:rPr>
        <w:t>健全网络交易市场监管部门联席会议制度。推动网络交易平台落实对平台内经营者的资质、产品质量等审核把关和监督责任。</w:t>
      </w:r>
      <w:r>
        <w:rPr>
          <w:rFonts w:hint="eastAsia" w:ascii="仿宋_GB2312" w:hAnsi="仿宋_GB2312" w:eastAsia="仿宋_GB2312" w:cs="仿宋_GB2312"/>
          <w:b w:val="0"/>
          <w:bCs w:val="0"/>
          <w:snapToGrid w:val="0"/>
          <w:color w:val="auto"/>
          <w:sz w:val="32"/>
          <w:szCs w:val="32"/>
        </w:rPr>
        <w:t>引导网络销售、直播带货经营者规范价格标示、价格促销等。</w:t>
      </w:r>
      <w:r>
        <w:rPr>
          <w:rFonts w:hint="eastAsia" w:ascii="仿宋_GB2312" w:hAnsi="仿宋_GB2312" w:eastAsia="仿宋_GB2312" w:cs="仿宋_GB2312"/>
          <w:b w:val="0"/>
          <w:bCs w:val="0"/>
          <w:color w:val="auto"/>
          <w:sz w:val="32"/>
          <w:szCs w:val="32"/>
        </w:rPr>
        <w:t>加强网络交易监测，提高市场风险监测和预警能力。加强电子数据取证能力建设，助力网络交易执法办案水平提升，推动网络交易跨区域执法协作，线索通报、证据移送、案件协查以及检验鉴定结果互认等制度。实行综合监管与行业管理部门之间的信息共享，开展重大案件会商、联合执法。</w:t>
      </w:r>
    </w:p>
    <w:p>
      <w:pPr>
        <w:ind w:firstLine="64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snapToGrid w:val="0"/>
          <w:color w:val="auto"/>
          <w:sz w:val="32"/>
          <w:szCs w:val="32"/>
          <w:lang w:val="en-US" w:eastAsia="zh-CN" w:bidi="ar"/>
        </w:rPr>
        <w:t xml:space="preserve"> </w:t>
      </w:r>
      <w:r>
        <w:rPr>
          <w:rFonts w:hint="eastAsia" w:ascii="仿宋_GB2312" w:hAnsi="仿宋_GB2312" w:eastAsia="仿宋_GB2312" w:cs="仿宋_GB2312"/>
          <w:b w:val="0"/>
          <w:bCs w:val="0"/>
          <w:snapToGrid w:val="0"/>
          <w:color w:val="auto"/>
          <w:sz w:val="32"/>
          <w:szCs w:val="32"/>
          <w:lang w:bidi="ar"/>
        </w:rPr>
        <w:t>严厉打击侵权假冒。强化重点区域、重点市场的</w:t>
      </w:r>
      <w:r>
        <w:rPr>
          <w:rFonts w:hint="eastAsia" w:ascii="仿宋_GB2312" w:hAnsi="仿宋_GB2312" w:eastAsia="仿宋_GB2312" w:cs="仿宋_GB2312"/>
          <w:b w:val="0"/>
          <w:bCs w:val="0"/>
          <w:color w:val="auto"/>
          <w:sz w:val="32"/>
          <w:szCs w:val="32"/>
        </w:rPr>
        <w:t>假冒伪劣产品的动态监控和分析，健全预警整改措施、快速响应机制，实现假冒伪劣产品的前置动态管理。开展专项整治和不定期检查，加强对食品药品、农资、家用电器、家装建材、儿童用品等商品市场的专项整治，健全城乡结合部、农村假冒伪劣商品高发地带监督检查长效机制，严厉查处不符合强制性标准、掺杂掺假、以假充真、以次充好、以不合格产品冒充合格产品等违法行为，保持市场监管的高压势态。</w:t>
      </w:r>
    </w:p>
    <w:p>
      <w:pPr>
        <w:pStyle w:val="5"/>
        <w:ind w:firstLine="643"/>
        <w:jc w:val="center"/>
        <w:rPr>
          <w:rFonts w:ascii="Times New Roman" w:hAnsi="Times New Roman" w:eastAsia="楷体_GB2312" w:cs="Times New Roman"/>
          <w:snapToGrid w:val="0"/>
          <w:color w:val="auto"/>
          <w:kern w:val="0"/>
        </w:rPr>
      </w:pPr>
      <w:r>
        <w:rPr>
          <w:rFonts w:ascii="Times New Roman" w:hAnsi="Times New Roman" w:eastAsia="楷体_GB2312" w:cs="Times New Roman"/>
          <w:snapToGrid w:val="0"/>
          <w:color w:val="auto"/>
          <w:kern w:val="0"/>
        </w:rPr>
        <w:t>第</w:t>
      </w:r>
      <w:r>
        <w:rPr>
          <w:rFonts w:hint="eastAsia" w:ascii="Times New Roman" w:hAnsi="Times New Roman" w:eastAsia="楷体_GB2312" w:cs="Times New Roman"/>
          <w:snapToGrid w:val="0"/>
          <w:color w:val="auto"/>
          <w:kern w:val="0"/>
          <w:lang w:eastAsia="zh-CN"/>
        </w:rPr>
        <w:t>五</w:t>
      </w:r>
      <w:r>
        <w:rPr>
          <w:rFonts w:ascii="Times New Roman" w:hAnsi="Times New Roman" w:eastAsia="楷体_GB2312" w:cs="Times New Roman"/>
          <w:snapToGrid w:val="0"/>
          <w:color w:val="auto"/>
          <w:kern w:val="0"/>
        </w:rPr>
        <w:t>节</w:t>
      </w:r>
      <w:r>
        <w:rPr>
          <w:rFonts w:hint="eastAsia" w:ascii="Times New Roman" w:hAnsi="Times New Roman" w:eastAsia="楷体_GB2312" w:cs="Times New Roman"/>
          <w:snapToGrid w:val="0"/>
          <w:color w:val="auto"/>
          <w:kern w:val="0"/>
        </w:rPr>
        <w:t xml:space="preserve"> 市场监督体系强基工程</w:t>
      </w:r>
      <w:bookmarkEnd w:id="44"/>
    </w:p>
    <w:p>
      <w:pPr>
        <w:pStyle w:val="36"/>
        <w:ind w:firstLine="640"/>
        <w:jc w:val="both"/>
        <w:rPr>
          <w:rFonts w:ascii="仿宋_GB2312" w:eastAsia="仿宋_GB2312"/>
          <w:snapToGrid w:val="0"/>
          <w:color w:val="auto"/>
        </w:rPr>
      </w:pPr>
      <w:bookmarkStart w:id="48" w:name="_Hlk74170441"/>
      <w:r>
        <w:rPr>
          <w:rFonts w:hint="eastAsia" w:ascii="仿宋_GB2312" w:eastAsia="仿宋_GB2312"/>
          <w:snapToGrid w:val="0"/>
          <w:color w:val="auto"/>
        </w:rPr>
        <w:t>围绕新时期市场监管的新形势、新要求，进一步</w:t>
      </w:r>
      <w:r>
        <w:rPr>
          <w:rFonts w:hint="eastAsia" w:ascii="仿宋_GB2312" w:eastAsia="仿宋_GB2312"/>
          <w:snapToGrid w:val="0"/>
          <w:color w:val="auto"/>
          <w:lang w:eastAsia="zh-CN"/>
        </w:rPr>
        <w:t>加强</w:t>
      </w:r>
      <w:r>
        <w:rPr>
          <w:rFonts w:hint="eastAsia" w:ascii="仿宋_GB2312" w:eastAsia="仿宋_GB2312"/>
          <w:snapToGrid w:val="0"/>
          <w:color w:val="auto"/>
        </w:rPr>
        <w:t>市场监管法治</w:t>
      </w:r>
      <w:r>
        <w:rPr>
          <w:rFonts w:hint="eastAsia" w:ascii="仿宋_GB2312" w:eastAsia="仿宋_GB2312"/>
          <w:snapToGrid w:val="0"/>
          <w:color w:val="auto"/>
          <w:lang w:eastAsia="zh-CN"/>
        </w:rPr>
        <w:t>建设</w:t>
      </w:r>
      <w:r>
        <w:rPr>
          <w:rFonts w:hint="eastAsia" w:ascii="仿宋_GB2312" w:eastAsia="仿宋_GB2312"/>
          <w:snapToGrid w:val="0"/>
          <w:color w:val="auto"/>
        </w:rPr>
        <w:t>，深化市场监管综合执法改革，不断加强</w:t>
      </w:r>
      <w:r>
        <w:rPr>
          <w:rFonts w:hint="eastAsia" w:ascii="仿宋_GB2312" w:eastAsia="仿宋_GB2312"/>
          <w:snapToGrid w:val="0"/>
          <w:color w:val="auto"/>
          <w:lang w:eastAsia="zh-CN"/>
        </w:rPr>
        <w:t>市场监管</w:t>
      </w:r>
      <w:r>
        <w:rPr>
          <w:rFonts w:hint="eastAsia" w:ascii="仿宋_GB2312" w:eastAsia="仿宋_GB2312"/>
          <w:snapToGrid w:val="0"/>
          <w:color w:val="auto"/>
        </w:rPr>
        <w:t>人才队伍</w:t>
      </w:r>
      <w:r>
        <w:rPr>
          <w:rFonts w:hint="eastAsia" w:ascii="仿宋_GB2312" w:eastAsia="仿宋_GB2312"/>
          <w:snapToGrid w:val="0"/>
          <w:color w:val="auto"/>
          <w:lang w:eastAsia="zh-CN"/>
        </w:rPr>
        <w:t>建设</w:t>
      </w:r>
      <w:r>
        <w:rPr>
          <w:rFonts w:hint="eastAsia" w:ascii="仿宋_GB2312" w:eastAsia="仿宋_GB2312"/>
          <w:snapToGrid w:val="0"/>
          <w:color w:val="auto"/>
        </w:rPr>
        <w:t>，</w:t>
      </w:r>
      <w:r>
        <w:rPr>
          <w:rFonts w:hint="eastAsia" w:ascii="仿宋_GB2312" w:eastAsia="仿宋_GB2312"/>
          <w:snapToGrid w:val="0"/>
          <w:color w:val="auto"/>
          <w:lang w:eastAsia="zh-CN"/>
        </w:rPr>
        <w:t>探索</w:t>
      </w:r>
      <w:r>
        <w:rPr>
          <w:rFonts w:hint="eastAsia" w:ascii="仿宋_GB2312" w:eastAsia="仿宋_GB2312"/>
          <w:snapToGrid w:val="0"/>
          <w:color w:val="auto"/>
        </w:rPr>
        <w:t>创</w:t>
      </w:r>
      <w:r>
        <w:rPr>
          <w:rFonts w:hint="eastAsia" w:ascii="仿宋_GB2312" w:eastAsia="仿宋_GB2312"/>
          <w:snapToGrid w:val="0"/>
          <w:color w:val="auto"/>
          <w:lang w:eastAsia="zh-CN"/>
        </w:rPr>
        <w:t>建</w:t>
      </w:r>
      <w:r>
        <w:rPr>
          <w:rFonts w:hint="eastAsia" w:ascii="仿宋_GB2312" w:eastAsia="仿宋_GB2312"/>
          <w:snapToGrid w:val="0"/>
          <w:color w:val="auto"/>
        </w:rPr>
        <w:t>新型</w:t>
      </w:r>
      <w:r>
        <w:rPr>
          <w:rFonts w:hint="eastAsia" w:ascii="仿宋_GB2312" w:eastAsia="仿宋_GB2312"/>
          <w:snapToGrid w:val="0"/>
          <w:color w:val="auto"/>
          <w:lang w:eastAsia="zh-CN"/>
        </w:rPr>
        <w:t>的</w:t>
      </w:r>
      <w:r>
        <w:rPr>
          <w:rFonts w:hint="eastAsia" w:ascii="仿宋_GB2312" w:eastAsia="仿宋_GB2312"/>
          <w:snapToGrid w:val="0"/>
          <w:color w:val="auto"/>
        </w:rPr>
        <w:t>监管模式，深化区域交流合作，打造多元共治格局，有效提升履职尽责能力。通过多项强基工作，最终打造成法治化、新型化、区域化、多元化的现代市场监督体系，为</w:t>
      </w:r>
      <w:r>
        <w:rPr>
          <w:rFonts w:hint="eastAsia" w:ascii="仿宋_GB2312" w:eastAsia="仿宋_GB2312"/>
          <w:snapToGrid w:val="0"/>
          <w:color w:val="auto"/>
          <w:lang w:eastAsia="zh-CN"/>
        </w:rPr>
        <w:t>推动有为</w:t>
      </w:r>
      <w:r>
        <w:rPr>
          <w:rFonts w:hint="eastAsia" w:ascii="仿宋_GB2312" w:eastAsia="仿宋_GB2312"/>
          <w:snapToGrid w:val="0"/>
          <w:color w:val="auto"/>
        </w:rPr>
        <w:t>政府</w:t>
      </w:r>
      <w:r>
        <w:rPr>
          <w:rFonts w:hint="eastAsia" w:ascii="仿宋_GB2312" w:eastAsia="仿宋_GB2312"/>
          <w:snapToGrid w:val="0"/>
          <w:color w:val="auto"/>
          <w:lang w:eastAsia="zh-CN"/>
        </w:rPr>
        <w:t>和有效市场更好地结合</w:t>
      </w:r>
      <w:r>
        <w:rPr>
          <w:rFonts w:hint="eastAsia" w:ascii="仿宋_GB2312" w:eastAsia="仿宋_GB2312"/>
          <w:snapToGrid w:val="0"/>
          <w:color w:val="auto"/>
        </w:rPr>
        <w:t>、促进市场公平竞争、维护市场秩序、激发市场活力和创造力提供保障。</w:t>
      </w:r>
    </w:p>
    <w:p>
      <w:pPr>
        <w:pStyle w:val="36"/>
        <w:ind w:firstLine="835" w:firstLineChars="261"/>
        <w:jc w:val="both"/>
        <w:outlineLvl w:val="2"/>
        <w:rPr>
          <w:rFonts w:hint="eastAsia" w:ascii="黑体" w:hAnsi="黑体" w:eastAsia="黑体" w:cs="黑体"/>
          <w:b w:val="0"/>
          <w:bCs w:val="0"/>
          <w:snapToGrid w:val="0"/>
          <w:color w:val="auto"/>
          <w:lang w:bidi="ar"/>
        </w:rPr>
      </w:pPr>
      <w:bookmarkStart w:id="49" w:name="_Toc77261202"/>
      <w:r>
        <w:rPr>
          <w:rFonts w:hint="eastAsia" w:ascii="黑体" w:hAnsi="黑体" w:eastAsia="黑体" w:cs="黑体"/>
          <w:b w:val="0"/>
          <w:bCs w:val="0"/>
          <w:snapToGrid w:val="0"/>
          <w:color w:val="auto"/>
          <w:lang w:eastAsia="zh-CN" w:bidi="ar"/>
        </w:rPr>
        <w:t>一、</w:t>
      </w:r>
      <w:r>
        <w:rPr>
          <w:rFonts w:hint="eastAsia" w:ascii="黑体" w:hAnsi="黑体" w:eastAsia="黑体" w:cs="黑体"/>
          <w:b w:val="0"/>
          <w:bCs w:val="0"/>
          <w:snapToGrid w:val="0"/>
          <w:color w:val="auto"/>
          <w:lang w:bidi="ar"/>
        </w:rPr>
        <w:t>加强市场监管法</w:t>
      </w:r>
      <w:r>
        <w:rPr>
          <w:rFonts w:hint="eastAsia" w:ascii="黑体" w:hAnsi="黑体" w:eastAsia="黑体" w:cs="黑体"/>
          <w:b w:val="0"/>
          <w:bCs w:val="0"/>
          <w:snapToGrid w:val="0"/>
          <w:color w:val="auto"/>
          <w:lang w:eastAsia="zh-CN" w:bidi="ar"/>
        </w:rPr>
        <w:t>治</w:t>
      </w:r>
      <w:r>
        <w:rPr>
          <w:rFonts w:hint="eastAsia" w:ascii="黑体" w:hAnsi="黑体" w:eastAsia="黑体" w:cs="黑体"/>
          <w:b w:val="0"/>
          <w:bCs w:val="0"/>
          <w:snapToGrid w:val="0"/>
          <w:color w:val="auto"/>
          <w:lang w:bidi="ar"/>
        </w:rPr>
        <w:t>建设</w:t>
      </w:r>
      <w:bookmarkEnd w:id="49"/>
    </w:p>
    <w:p>
      <w:pPr>
        <w:pStyle w:val="36"/>
        <w:ind w:firstLine="640"/>
        <w:jc w:val="both"/>
        <w:rPr>
          <w:rFonts w:hint="eastAsia" w:ascii="仿宋_GB2312" w:hAnsi="仿宋_GB2312" w:eastAsia="仿宋_GB2312" w:cs="仿宋_GB2312"/>
          <w:b/>
          <w:bCs/>
          <w:snapToGrid w:val="0"/>
          <w:color w:val="auto"/>
          <w:lang w:eastAsia="zh-CN"/>
        </w:rPr>
      </w:pPr>
      <w:r>
        <w:rPr>
          <w:rFonts w:hint="eastAsia" w:ascii="楷体_GB2312" w:eastAsia="楷体_GB2312"/>
          <w:snapToGrid w:val="0"/>
          <w:color w:val="auto"/>
          <w:lang w:val="en-US" w:eastAsia="zh-CN"/>
        </w:rPr>
        <w:t xml:space="preserve"> </w:t>
      </w:r>
      <w:r>
        <w:rPr>
          <w:rFonts w:hint="eastAsia" w:ascii="仿宋_GB2312" w:hAnsi="仿宋_GB2312" w:eastAsia="仿宋_GB2312" w:cs="仿宋_GB2312"/>
          <w:snapToGrid w:val="0"/>
          <w:color w:val="auto"/>
        </w:rPr>
        <w:t>加强执法制度建设和执行。</w:t>
      </w:r>
      <w:r>
        <w:rPr>
          <w:rFonts w:hint="eastAsia" w:ascii="仿宋_GB2312" w:hAnsi="仿宋_GB2312" w:eastAsia="仿宋_GB2312" w:cs="仿宋_GB2312"/>
          <w:snapToGrid w:val="0"/>
          <w:color w:val="auto"/>
          <w:lang w:eastAsia="zh-CN"/>
        </w:rPr>
        <w:t>坚持以习近平法治思想为指导，全面落实依法治市部署。</w:t>
      </w:r>
      <w:r>
        <w:rPr>
          <w:rFonts w:hint="eastAsia" w:ascii="仿宋_GB2312" w:hAnsi="仿宋_GB2312" w:eastAsia="仿宋_GB2312" w:cs="仿宋_GB2312"/>
          <w:snapToGrid w:val="0"/>
          <w:color w:val="auto"/>
        </w:rPr>
        <w:t>完善统一执法程序，严格落实行政执法公示、全过程记录、重大行政执法决定法制审核“三项制度”，推进行政执法标准化、信息化建设。加快建立决策、执行、监督相互制约、相互协调的运行机制，完善柔性执法、服务执法等机制，实现严格规范公正文明执法。全面梳理、规范和精简市场监管领域的行政执法事项，动态调整市场监管权责清单等。建立健全多元化行政纠纷解决机制。规范自由裁量权行使，</w:t>
      </w:r>
      <w:r>
        <w:rPr>
          <w:rFonts w:hint="eastAsia" w:ascii="仿宋_GB2312" w:hAnsi="仿宋_GB2312" w:eastAsia="仿宋_GB2312" w:cs="仿宋_GB2312"/>
          <w:snapToGrid w:val="0"/>
          <w:color w:val="auto"/>
          <w:lang w:eastAsia="zh-CN"/>
        </w:rPr>
        <w:t>提高监管执法规范性、透明度。</w:t>
      </w:r>
    </w:p>
    <w:p>
      <w:pPr>
        <w:pStyle w:val="36"/>
        <w:ind w:firstLine="640"/>
        <w:jc w:val="both"/>
        <w:rPr>
          <w:rFonts w:hint="eastAsia" w:ascii="仿宋_GB2312" w:hAnsi="仿宋_GB2312" w:eastAsia="仿宋_GB2312" w:cs="仿宋_GB2312"/>
          <w:b/>
          <w:bCs/>
          <w:snapToGrid w:val="0"/>
          <w:color w:val="auto"/>
        </w:rPr>
      </w:pPr>
      <w:r>
        <w:rPr>
          <w:rFonts w:hint="eastAsia" w:ascii="仿宋_GB2312" w:hAnsi="仿宋_GB2312" w:eastAsia="仿宋_GB2312" w:cs="仿宋_GB2312"/>
          <w:snapToGrid w:val="0"/>
          <w:color w:val="auto"/>
          <w:lang w:val="en-US" w:eastAsia="zh-CN"/>
        </w:rPr>
        <w:t xml:space="preserve"> </w:t>
      </w:r>
      <w:r>
        <w:rPr>
          <w:rFonts w:hint="eastAsia" w:ascii="仿宋_GB2312" w:hAnsi="仿宋_GB2312" w:eastAsia="仿宋_GB2312" w:cs="仿宋_GB2312"/>
          <w:snapToGrid w:val="0"/>
          <w:color w:val="auto"/>
        </w:rPr>
        <w:t>加强行政执法监督。进一步压实行政执法监督主体责任，加强对市场监管部门执法人员严格规范公正文明执法情况的监督检查。落实行政执法责任制和责任追究制度，推行执法办案评议考核制度，优化奖惩分明的执法评价体系。探索推行社会评议执法，建立第三方评价机制，完善社会监督。</w:t>
      </w:r>
    </w:p>
    <w:p>
      <w:pPr>
        <w:pStyle w:val="36"/>
        <w:widowControl w:val="0"/>
        <w:ind w:firstLine="640"/>
        <w:jc w:val="both"/>
        <w:rPr>
          <w:rFonts w:hint="eastAsia" w:ascii="仿宋_GB2312" w:hAnsi="仿宋_GB2312" w:eastAsia="仿宋_GB2312" w:cs="仿宋_GB2312"/>
          <w:snapToGrid w:val="0"/>
          <w:color w:val="auto"/>
        </w:rPr>
      </w:pPr>
      <w:r>
        <w:rPr>
          <w:rFonts w:hint="eastAsia" w:ascii="仿宋_GB2312" w:hAnsi="仿宋_GB2312" w:eastAsia="仿宋_GB2312" w:cs="仿宋_GB2312"/>
          <w:snapToGrid w:val="0"/>
          <w:color w:val="auto"/>
          <w:lang w:val="en-US" w:eastAsia="zh-CN"/>
        </w:rPr>
        <w:t xml:space="preserve"> </w:t>
      </w:r>
      <w:r>
        <w:rPr>
          <w:rFonts w:hint="eastAsia" w:ascii="仿宋_GB2312" w:hAnsi="仿宋_GB2312" w:eastAsia="仿宋_GB2312" w:cs="仿宋_GB2312"/>
          <w:snapToGrid w:val="0"/>
          <w:color w:val="auto"/>
        </w:rPr>
        <w:t>保护执法办案人员合法权益。坚持实事求是和“尽职照单免责，失职照单问责”的原则，严格落实总局《市场监督管理行政执法责任制规定》和省局出台依法履职免责规定，建立具有可操作性的容错机制，明确具体免责情形和从轻或者减轻追责情形，推动执法记录仪的使用和管理，营造有创新、有探索、有实践，敢于亮剑、敢为人先、敢于担当的良好执法环境。</w:t>
      </w:r>
    </w:p>
    <w:p>
      <w:pPr>
        <w:pStyle w:val="36"/>
        <w:widowControl w:val="0"/>
        <w:ind w:firstLine="640"/>
        <w:jc w:val="both"/>
        <w:rPr>
          <w:rFonts w:hint="eastAsia" w:ascii="仿宋_GB2312" w:hAnsi="仿宋_GB2312" w:eastAsia="仿宋_GB2312" w:cs="仿宋_GB2312"/>
          <w:snapToGrid w:val="0"/>
          <w:color w:val="auto"/>
        </w:rPr>
      </w:pPr>
      <w:r>
        <w:rPr>
          <w:rFonts w:hint="eastAsia" w:ascii="仿宋_GB2312" w:hAnsi="仿宋_GB2312" w:eastAsia="仿宋_GB2312" w:cs="仿宋_GB2312"/>
          <w:snapToGrid w:val="0"/>
          <w:color w:val="auto"/>
          <w:lang w:val="en-US" w:eastAsia="zh-CN"/>
        </w:rPr>
        <w:t xml:space="preserve"> </w:t>
      </w:r>
      <w:r>
        <w:rPr>
          <w:rFonts w:hint="eastAsia" w:ascii="仿宋_GB2312" w:hAnsi="仿宋_GB2312" w:eastAsia="仿宋_GB2312" w:cs="仿宋_GB2312"/>
          <w:snapToGrid w:val="0"/>
          <w:color w:val="auto"/>
        </w:rPr>
        <w:t>强化普法宣传工作。按照“谁执法，谁普法”要求，组织开展法律法规规章的集中宣传。严格落实</w:t>
      </w:r>
      <w:r>
        <w:rPr>
          <w:rFonts w:hint="eastAsia" w:ascii="仿宋_GB2312" w:hAnsi="仿宋_GB2312" w:eastAsia="仿宋_GB2312" w:cs="仿宋_GB2312"/>
          <w:snapToGrid w:val="0"/>
          <w:color w:val="auto"/>
          <w:lang w:eastAsia="zh-CN"/>
        </w:rPr>
        <w:t>八五</w:t>
      </w:r>
      <w:r>
        <w:rPr>
          <w:rFonts w:hint="eastAsia" w:ascii="仿宋_GB2312" w:hAnsi="仿宋_GB2312" w:eastAsia="仿宋_GB2312" w:cs="仿宋_GB2312"/>
          <w:snapToGrid w:val="0"/>
          <w:color w:val="auto"/>
        </w:rPr>
        <w:t>普法</w:t>
      </w:r>
      <w:r>
        <w:rPr>
          <w:rFonts w:hint="eastAsia" w:ascii="仿宋_GB2312" w:hAnsi="仿宋_GB2312" w:eastAsia="仿宋_GB2312" w:cs="仿宋_GB2312"/>
          <w:snapToGrid w:val="0"/>
          <w:color w:val="auto"/>
          <w:lang w:eastAsia="zh-CN"/>
        </w:rPr>
        <w:t>规划部署和普法</w:t>
      </w:r>
      <w:r>
        <w:rPr>
          <w:rFonts w:hint="eastAsia" w:ascii="仿宋_GB2312" w:hAnsi="仿宋_GB2312" w:eastAsia="仿宋_GB2312" w:cs="仿宋_GB2312"/>
          <w:snapToGrid w:val="0"/>
          <w:color w:val="auto"/>
        </w:rPr>
        <w:t>责任制，进一步修订完善普法责任清单。开展主题活动，有计划、有组织、分专题、分阶段开展宣传，</w:t>
      </w:r>
      <w:r>
        <w:rPr>
          <w:rFonts w:hint="eastAsia" w:ascii="仿宋_GB2312" w:hAnsi="仿宋_GB2312" w:eastAsia="仿宋_GB2312" w:cs="仿宋_GB2312"/>
          <w:snapToGrid w:val="0"/>
          <w:color w:val="auto"/>
          <w:lang w:eastAsia="zh-CN"/>
        </w:rPr>
        <w:t>有</w:t>
      </w:r>
      <w:r>
        <w:rPr>
          <w:rFonts w:hint="eastAsia" w:ascii="仿宋_GB2312" w:hAnsi="仿宋_GB2312" w:eastAsia="仿宋_GB2312" w:cs="仿宋_GB2312"/>
          <w:snapToGrid w:val="0"/>
          <w:color w:val="auto"/>
        </w:rPr>
        <w:t>针对性</w:t>
      </w:r>
      <w:r>
        <w:rPr>
          <w:rFonts w:hint="eastAsia" w:ascii="仿宋_GB2312" w:hAnsi="仿宋_GB2312" w:eastAsia="仿宋_GB2312" w:cs="仿宋_GB2312"/>
          <w:snapToGrid w:val="0"/>
          <w:color w:val="auto"/>
          <w:lang w:eastAsia="zh-CN"/>
        </w:rPr>
        <w:t>地</w:t>
      </w:r>
      <w:r>
        <w:rPr>
          <w:rFonts w:hint="eastAsia" w:ascii="仿宋_GB2312" w:hAnsi="仿宋_GB2312" w:eastAsia="仿宋_GB2312" w:cs="仿宋_GB2312"/>
          <w:snapToGrid w:val="0"/>
          <w:color w:val="auto"/>
        </w:rPr>
        <w:t>开展</w:t>
      </w:r>
      <w:r>
        <w:rPr>
          <w:rFonts w:hint="eastAsia" w:ascii="仿宋_GB2312" w:hAnsi="仿宋_GB2312" w:eastAsia="仿宋_GB2312" w:cs="仿宋_GB2312"/>
          <w:snapToGrid w:val="0"/>
          <w:color w:val="auto"/>
          <w:lang w:eastAsia="zh-CN"/>
        </w:rPr>
        <w:t>市场监管</w:t>
      </w:r>
      <w:r>
        <w:rPr>
          <w:rFonts w:hint="eastAsia" w:ascii="仿宋_GB2312" w:hAnsi="仿宋_GB2312" w:eastAsia="仿宋_GB2312" w:cs="仿宋_GB2312"/>
          <w:snapToGrid w:val="0"/>
          <w:color w:val="auto"/>
        </w:rPr>
        <w:t>法律法规政策宣讲解读，充分发挥广播、电视、报纸等传统媒体优势，灵活运用微信、微博、微视频等新媒体力量，大力宣传市场监管法律法规和典型案例</w:t>
      </w:r>
      <w:r>
        <w:rPr>
          <w:rFonts w:hint="eastAsia" w:ascii="仿宋_GB2312" w:hAnsi="仿宋_GB2312" w:eastAsia="仿宋_GB2312" w:cs="仿宋_GB2312"/>
          <w:snapToGrid w:val="0"/>
          <w:color w:val="auto"/>
          <w:lang w:eastAsia="zh-CN"/>
        </w:rPr>
        <w:t>，</w:t>
      </w:r>
      <w:r>
        <w:rPr>
          <w:rFonts w:hint="eastAsia" w:ascii="仿宋_GB2312" w:hAnsi="仿宋_GB2312" w:eastAsia="仿宋_GB2312" w:cs="仿宋_GB2312"/>
          <w:snapToGrid w:val="0"/>
          <w:color w:val="auto"/>
        </w:rPr>
        <w:t>营造全社会关心、支持和参与市场监管法治建设的良好氛围。</w:t>
      </w:r>
    </w:p>
    <w:p>
      <w:pPr>
        <w:pStyle w:val="36"/>
        <w:ind w:firstLine="835" w:firstLineChars="261"/>
        <w:jc w:val="both"/>
        <w:outlineLvl w:val="2"/>
        <w:rPr>
          <w:rFonts w:hint="eastAsia" w:ascii="黑体" w:hAnsi="黑体" w:eastAsia="黑体" w:cs="黑体"/>
          <w:b w:val="0"/>
          <w:bCs w:val="0"/>
          <w:snapToGrid w:val="0"/>
          <w:color w:val="auto"/>
        </w:rPr>
      </w:pPr>
      <w:bookmarkStart w:id="50" w:name="_Toc77261203"/>
      <w:r>
        <w:rPr>
          <w:rFonts w:hint="eastAsia" w:ascii="黑体" w:hAnsi="黑体" w:eastAsia="黑体" w:cs="黑体"/>
          <w:b w:val="0"/>
          <w:bCs w:val="0"/>
          <w:snapToGrid w:val="0"/>
          <w:color w:val="auto"/>
          <w:lang w:eastAsia="zh-CN" w:bidi="ar"/>
        </w:rPr>
        <w:t>二、</w:t>
      </w:r>
      <w:r>
        <w:rPr>
          <w:rFonts w:hint="eastAsia" w:ascii="黑体" w:hAnsi="黑体" w:eastAsia="黑体" w:cs="黑体"/>
          <w:b w:val="0"/>
          <w:bCs w:val="0"/>
          <w:snapToGrid w:val="0"/>
          <w:color w:val="auto"/>
          <w:lang w:bidi="ar"/>
        </w:rPr>
        <w:t>强化综合执法基础工作</w:t>
      </w:r>
      <w:bookmarkEnd w:id="50"/>
    </w:p>
    <w:p>
      <w:pPr>
        <w:spacing w:line="600" w:lineRule="exact"/>
        <w:ind w:firstLine="64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val="en-US" w:eastAsia="zh-CN"/>
        </w:rPr>
        <w:t xml:space="preserve"> </w:t>
      </w:r>
      <w:r>
        <w:rPr>
          <w:rFonts w:hint="eastAsia" w:ascii="仿宋_GB2312" w:hAnsi="仿宋_GB2312" w:eastAsia="仿宋_GB2312" w:cs="仿宋_GB2312"/>
          <w:snapToGrid w:val="0"/>
          <w:color w:val="auto"/>
          <w:kern w:val="0"/>
          <w:sz w:val="32"/>
          <w:szCs w:val="32"/>
        </w:rPr>
        <w:t>深化综合执法改革。进一步优化市场监管领域执法机构和执法层级，推动市场监管执法重心下沉，保持市场监管执法队伍的相对独立性、稳定性。</w:t>
      </w:r>
      <w:r>
        <w:rPr>
          <w:rFonts w:hint="eastAsia" w:ascii="仿宋_GB2312" w:hAnsi="仿宋_GB2312" w:eastAsia="仿宋_GB2312" w:cs="仿宋_GB2312"/>
          <w:color w:val="auto"/>
          <w:sz w:val="32"/>
        </w:rPr>
        <w:t>科学合理界定各层级市场监管机构的监管事权和监管职责，配合做好乡镇村行政区划调整改革“后半篇”文章，探索乡镇（村）市场监管执法协</w:t>
      </w:r>
      <w:r>
        <w:rPr>
          <w:rFonts w:hint="eastAsia" w:ascii="仿宋_GB2312" w:hAnsi="仿宋_GB2312" w:eastAsia="仿宋_GB2312" w:cs="仿宋_GB2312"/>
          <w:color w:val="auto"/>
          <w:sz w:val="32"/>
          <w:lang w:eastAsia="zh-CN"/>
        </w:rPr>
        <w:t>同管理</w:t>
      </w:r>
      <w:r>
        <w:rPr>
          <w:rFonts w:hint="eastAsia" w:ascii="仿宋_GB2312" w:hAnsi="仿宋_GB2312" w:eastAsia="仿宋_GB2312" w:cs="仿宋_GB2312"/>
          <w:color w:val="auto"/>
          <w:sz w:val="32"/>
        </w:rPr>
        <w:t>新机制</w:t>
      </w:r>
      <w:r>
        <w:rPr>
          <w:rFonts w:hint="eastAsia" w:ascii="仿宋_GB2312" w:hAnsi="仿宋_GB2312" w:eastAsia="仿宋_GB2312" w:cs="仿宋_GB2312"/>
          <w:snapToGrid w:val="0"/>
          <w:color w:val="auto"/>
          <w:kern w:val="0"/>
          <w:sz w:val="32"/>
          <w:szCs w:val="32"/>
        </w:rPr>
        <w:t>。完善大案要案指挥、交办、挂牌督办等制度，创新执法办案技术和战法，积极探索移动端执法、非现场执法，推动执法结果共享互认。</w:t>
      </w:r>
    </w:p>
    <w:p>
      <w:pPr>
        <w:spacing w:line="600" w:lineRule="exact"/>
        <w:ind w:firstLine="640"/>
        <w:rPr>
          <w:rFonts w:hint="eastAsia" w:ascii="仿宋_GB2312" w:hAnsi="仿宋_GB2312" w:eastAsia="仿宋_GB2312" w:cs="仿宋_GB2312"/>
          <w:color w:val="auto"/>
          <w:sz w:val="32"/>
          <w:lang w:eastAsia="zh-CN"/>
        </w:rPr>
      </w:pPr>
      <w:r>
        <w:rPr>
          <w:rFonts w:hint="eastAsia" w:ascii="仿宋_GB2312" w:hAnsi="仿宋_GB2312" w:eastAsia="仿宋_GB2312" w:cs="仿宋_GB2312"/>
          <w:snapToGrid w:val="0"/>
          <w:color w:val="auto"/>
          <w:kern w:val="0"/>
          <w:sz w:val="32"/>
          <w:szCs w:val="32"/>
          <w:lang w:val="en-US" w:eastAsia="zh-CN"/>
        </w:rPr>
        <w:t xml:space="preserve"> </w:t>
      </w:r>
      <w:r>
        <w:rPr>
          <w:rFonts w:hint="eastAsia" w:ascii="仿宋_GB2312" w:hAnsi="仿宋_GB2312" w:eastAsia="仿宋_GB2312" w:cs="仿宋_GB2312"/>
          <w:snapToGrid w:val="0"/>
          <w:color w:val="auto"/>
          <w:kern w:val="0"/>
          <w:sz w:val="32"/>
          <w:szCs w:val="32"/>
        </w:rPr>
        <w:t>强化协调联动。</w:t>
      </w:r>
      <w:r>
        <w:rPr>
          <w:rFonts w:hint="eastAsia" w:ascii="仿宋_GB2312" w:hAnsi="仿宋_GB2312" w:eastAsia="仿宋_GB2312" w:cs="仿宋_GB2312"/>
          <w:color w:val="auto"/>
          <w:sz w:val="32"/>
        </w:rPr>
        <w:t>加强机构内部横向协同，推进业务职能整合，完善问题会商、工作协同、监管联动工作机制，实现一门窗口审批、一个标准管辖、一套程序办案、一支队伍执法、一条热线维权。加强外部工作协调联动，按照“谁审批谁监管、谁主管谁监管”的原则，厘清平行部门工作职责，强化企业主体责任，推进社会共治，着力构建统一、权威、高效的市场监管体系。</w:t>
      </w:r>
      <w:r>
        <w:rPr>
          <w:rFonts w:hint="eastAsia" w:ascii="仿宋_GB2312" w:hAnsi="仿宋_GB2312" w:eastAsia="仿宋_GB2312" w:cs="仿宋_GB2312"/>
          <w:color w:val="auto"/>
          <w:sz w:val="32"/>
          <w:lang w:eastAsia="zh-CN"/>
        </w:rPr>
        <w:t>强化行刑</w:t>
      </w:r>
      <w:bookmarkStart w:id="51" w:name="_Toc77261204"/>
      <w:r>
        <w:rPr>
          <w:rFonts w:hint="eastAsia" w:ascii="仿宋_GB2312" w:hAnsi="仿宋_GB2312" w:eastAsia="仿宋_GB2312" w:cs="仿宋_GB2312"/>
          <w:color w:val="auto"/>
          <w:sz w:val="32"/>
          <w:lang w:eastAsia="zh-CN"/>
        </w:rPr>
        <w:t>衔接，严厉打击市场违法犯罪行为，维护市场经济秩序。</w:t>
      </w:r>
    </w:p>
    <w:p>
      <w:pPr>
        <w:spacing w:line="600" w:lineRule="exact"/>
        <w:ind w:firstLine="640"/>
        <w:rPr>
          <w:rFonts w:hint="eastAsia" w:ascii="黑体" w:hAnsi="黑体" w:eastAsia="黑体" w:cs="黑体"/>
          <w:b w:val="0"/>
          <w:bCs w:val="0"/>
          <w:snapToGrid w:val="0"/>
          <w:color w:val="auto"/>
          <w:sz w:val="32"/>
          <w:szCs w:val="32"/>
          <w:lang w:bidi="ar"/>
        </w:rPr>
      </w:pPr>
      <w:r>
        <w:rPr>
          <w:rFonts w:hint="eastAsia" w:ascii="黑体" w:hAnsi="黑体" w:eastAsia="黑体" w:cs="黑体"/>
          <w:b w:val="0"/>
          <w:bCs w:val="0"/>
          <w:snapToGrid w:val="0"/>
          <w:color w:val="auto"/>
          <w:sz w:val="32"/>
          <w:szCs w:val="32"/>
          <w:lang w:eastAsia="zh-CN" w:bidi="ar"/>
        </w:rPr>
        <w:t>三、</w:t>
      </w:r>
      <w:r>
        <w:rPr>
          <w:rFonts w:hint="eastAsia" w:ascii="黑体" w:hAnsi="黑体" w:eastAsia="黑体" w:cs="黑体"/>
          <w:b w:val="0"/>
          <w:bCs w:val="0"/>
          <w:snapToGrid w:val="0"/>
          <w:color w:val="auto"/>
          <w:sz w:val="32"/>
          <w:szCs w:val="32"/>
          <w:lang w:bidi="ar"/>
        </w:rPr>
        <w:t>加强人才队伍建设</w:t>
      </w:r>
      <w:bookmarkEnd w:id="51"/>
    </w:p>
    <w:p>
      <w:pPr>
        <w:pStyle w:val="36"/>
        <w:jc w:val="both"/>
        <w:rPr>
          <w:rFonts w:hint="eastAsia" w:ascii="仿宋_GB2312" w:hAnsi="仿宋_GB2312" w:eastAsia="仿宋_GB2312" w:cs="仿宋_GB2312"/>
          <w:snapToGrid w:val="0"/>
          <w:color w:val="auto"/>
        </w:rPr>
      </w:pPr>
      <w:r>
        <w:rPr>
          <w:rFonts w:hint="eastAsia" w:ascii="仿宋_GB2312" w:hAnsi="仿宋_GB2312" w:eastAsia="仿宋_GB2312" w:cs="仿宋_GB2312"/>
          <w:snapToGrid w:val="0"/>
          <w:color w:val="auto"/>
        </w:rPr>
        <w:t>加强高层次人才引进。加快高层次专业人才队伍建设，围绕监管、执法、技术、综合管理等各类岗位，通过公招、遴选、选调等方式集聚一批思想政治素质好、专业能力强的高层次人才，助推乐山市</w:t>
      </w:r>
      <w:r>
        <w:rPr>
          <w:rFonts w:hint="eastAsia" w:ascii="仿宋_GB2312" w:hAnsi="仿宋_GB2312" w:eastAsia="仿宋_GB2312" w:cs="仿宋_GB2312"/>
          <w:snapToGrid w:val="0"/>
          <w:color w:val="auto"/>
          <w:lang w:eastAsia="zh-CN"/>
        </w:rPr>
        <w:t>场监管事业改革发展</w:t>
      </w:r>
      <w:r>
        <w:rPr>
          <w:rFonts w:hint="eastAsia" w:ascii="仿宋_GB2312" w:hAnsi="仿宋_GB2312" w:eastAsia="仿宋_GB2312" w:cs="仿宋_GB2312"/>
          <w:snapToGrid w:val="0"/>
          <w:color w:val="auto"/>
        </w:rPr>
        <w:t>。</w:t>
      </w:r>
    </w:p>
    <w:p>
      <w:pPr>
        <w:pStyle w:val="36"/>
        <w:ind w:firstLine="640"/>
        <w:jc w:val="both"/>
        <w:rPr>
          <w:rFonts w:hint="eastAsia" w:ascii="仿宋_GB2312" w:hAnsi="仿宋_GB2312" w:eastAsia="仿宋_GB2312" w:cs="仿宋_GB2312"/>
          <w:snapToGrid w:val="0"/>
          <w:color w:val="auto"/>
        </w:rPr>
      </w:pPr>
      <w:r>
        <w:rPr>
          <w:rFonts w:hint="eastAsia" w:ascii="仿宋_GB2312" w:hAnsi="仿宋_GB2312" w:eastAsia="仿宋_GB2312" w:cs="仿宋_GB2312"/>
          <w:b/>
          <w:bCs/>
          <w:snapToGrid w:val="0"/>
          <w:color w:val="auto"/>
          <w:lang w:val="en-US" w:eastAsia="zh-CN"/>
        </w:rPr>
        <w:t xml:space="preserve"> </w:t>
      </w:r>
      <w:r>
        <w:rPr>
          <w:rFonts w:hint="eastAsia" w:ascii="仿宋_GB2312" w:hAnsi="仿宋_GB2312" w:eastAsia="仿宋_GB2312" w:cs="仿宋_GB2312"/>
          <w:snapToGrid w:val="0"/>
          <w:color w:val="auto"/>
        </w:rPr>
        <w:t>加强实用型人才培养。树立符合市场监管能力现代化需求的培育理念，搞活党政机关事业单位人员使用机制，</w:t>
      </w:r>
      <w:r>
        <w:rPr>
          <w:rFonts w:hint="eastAsia" w:ascii="仿宋_GB2312" w:hAnsi="仿宋_GB2312" w:eastAsia="仿宋_GB2312" w:cs="仿宋_GB2312"/>
          <w:color w:val="auto"/>
          <w:lang w:val="zh-CN"/>
        </w:rPr>
        <w:t>推动建成素质优良、数量充足、结构合理、类型完善的市场监管人才队伍</w:t>
      </w:r>
      <w:r>
        <w:rPr>
          <w:rFonts w:hint="eastAsia" w:ascii="仿宋_GB2312" w:hAnsi="仿宋_GB2312" w:eastAsia="仿宋_GB2312" w:cs="仿宋_GB2312"/>
          <w:snapToGrid w:val="0"/>
          <w:color w:val="auto"/>
        </w:rPr>
        <w:t>。增强人才培训，着力培养新型市场监管专家型、治理型、复合型人才。综合运用岗位练兵、脱产培训、项目锻炼、上挂下派等方式，抓业务能力普训、抓实践操作专训、抓协作联动练兵</w:t>
      </w:r>
      <w:r>
        <w:rPr>
          <w:rFonts w:hint="eastAsia" w:ascii="仿宋_GB2312" w:hAnsi="仿宋_GB2312" w:eastAsia="仿宋_GB2312" w:cs="仿宋_GB2312"/>
          <w:color w:val="auto"/>
        </w:rPr>
        <w:t>，建立职业化市场监管执法队伍。</w:t>
      </w:r>
      <w:r>
        <w:rPr>
          <w:rFonts w:hint="eastAsia" w:ascii="仿宋_GB2312" w:hAnsi="仿宋_GB2312" w:eastAsia="仿宋_GB2312" w:cs="仿宋_GB2312"/>
          <w:snapToGrid w:val="0"/>
          <w:color w:val="auto"/>
        </w:rPr>
        <w:t>积极推广运用数字化、信息化条件下教育培训手段应用，加大网络培训、远程培训力度。坚持“请进来”和“走出去”结合，依托成渝地区研究机构、高等院校等资源，开展专业培训，邀请名家能手、行业专家进行技术交流、</w:t>
      </w:r>
      <w:r>
        <w:rPr>
          <w:rFonts w:hint="eastAsia" w:ascii="仿宋_GB2312" w:hAnsi="仿宋_GB2312" w:eastAsia="仿宋_GB2312" w:cs="仿宋_GB2312"/>
          <w:snapToGrid w:val="0"/>
          <w:color w:val="auto"/>
          <w:lang w:eastAsia="zh-CN"/>
        </w:rPr>
        <w:t>培训</w:t>
      </w:r>
      <w:r>
        <w:rPr>
          <w:rFonts w:hint="eastAsia" w:ascii="仿宋_GB2312" w:hAnsi="仿宋_GB2312" w:eastAsia="仿宋_GB2312" w:cs="仿宋_GB2312"/>
          <w:snapToGrid w:val="0"/>
          <w:color w:val="auto"/>
        </w:rPr>
        <w:t>研讨，提升干部能力。</w:t>
      </w:r>
    </w:p>
    <w:p>
      <w:pPr>
        <w:pStyle w:val="36"/>
        <w:ind w:firstLine="640"/>
        <w:jc w:val="both"/>
        <w:rPr>
          <w:rFonts w:hint="eastAsia" w:ascii="仿宋_GB2312" w:hAnsi="仿宋_GB2312" w:eastAsia="仿宋_GB2312" w:cs="仿宋_GB2312"/>
          <w:snapToGrid w:val="0"/>
          <w:color w:val="auto"/>
        </w:rPr>
      </w:pPr>
      <w:r>
        <w:rPr>
          <w:rFonts w:hint="eastAsia" w:ascii="仿宋_GB2312" w:hAnsi="仿宋_GB2312" w:eastAsia="仿宋_GB2312" w:cs="仿宋_GB2312"/>
          <w:snapToGrid w:val="0"/>
          <w:color w:val="auto"/>
          <w:lang w:val="en-US" w:eastAsia="zh-CN"/>
        </w:rPr>
        <w:t xml:space="preserve"> </w:t>
      </w:r>
      <w:r>
        <w:rPr>
          <w:rFonts w:hint="eastAsia" w:ascii="仿宋_GB2312" w:hAnsi="仿宋_GB2312" w:eastAsia="仿宋_GB2312" w:cs="仿宋_GB2312"/>
          <w:snapToGrid w:val="0"/>
          <w:color w:val="auto"/>
        </w:rPr>
        <w:t>优化人才服务体系。完善市场监管人才服务政策，优化人才发展环境，健全创新激励和保障机制。构建以成果为导向的绩效评价体系，深化职称制度改革，健全专业技术职称评价体系，完善评价机制，优化评价标准，促进职称评价与人事人才政策相衔接。</w:t>
      </w:r>
      <w:r>
        <w:rPr>
          <w:rFonts w:hint="eastAsia" w:ascii="仿宋_GB2312" w:hAnsi="仿宋_GB2312" w:eastAsia="仿宋_GB2312" w:cs="仿宋_GB2312"/>
          <w:snapToGrid w:val="0"/>
          <w:color w:val="auto"/>
          <w:lang w:eastAsia="zh-CN"/>
        </w:rPr>
        <w:t>完善</w:t>
      </w:r>
      <w:r>
        <w:rPr>
          <w:rFonts w:hint="eastAsia" w:ascii="仿宋_GB2312" w:hAnsi="仿宋_GB2312" w:eastAsia="仿宋_GB2312" w:cs="仿宋_GB2312"/>
          <w:snapToGrid w:val="0"/>
          <w:color w:val="auto"/>
        </w:rPr>
        <w:t>人才交流合作、学术研讨、职称评审、专</w:t>
      </w:r>
      <w:r>
        <w:rPr>
          <w:rFonts w:hint="eastAsia" w:ascii="仿宋_GB2312" w:hAnsi="仿宋_GB2312" w:eastAsia="仿宋_GB2312" w:cs="仿宋_GB2312"/>
          <w:color w:val="auto"/>
        </w:rPr>
        <w:t>利成果转化全链</w:t>
      </w:r>
      <w:r>
        <w:rPr>
          <w:rFonts w:hint="eastAsia" w:ascii="仿宋_GB2312" w:hAnsi="仿宋_GB2312" w:eastAsia="仿宋_GB2312" w:cs="仿宋_GB2312"/>
          <w:snapToGrid w:val="0"/>
          <w:color w:val="auto"/>
        </w:rPr>
        <w:t>条市场监管人才服务模式。注重借智借力，加强专家库建设管理，有效发挥专家作用。</w:t>
      </w:r>
      <w:bookmarkStart w:id="52" w:name="_Toc77261205"/>
    </w:p>
    <w:p>
      <w:pPr>
        <w:pStyle w:val="36"/>
        <w:numPr>
          <w:ilvl w:val="0"/>
          <w:numId w:val="2"/>
        </w:numPr>
        <w:ind w:firstLine="640"/>
        <w:jc w:val="both"/>
        <w:rPr>
          <w:rFonts w:hint="eastAsia" w:ascii="黑体" w:hAnsi="黑体" w:eastAsia="黑体" w:cs="黑体"/>
          <w:b w:val="0"/>
          <w:bCs w:val="0"/>
          <w:snapToGrid w:val="0"/>
          <w:color w:val="auto"/>
          <w:lang w:bidi="ar"/>
        </w:rPr>
      </w:pPr>
      <w:r>
        <w:rPr>
          <w:rFonts w:hint="eastAsia" w:ascii="黑体" w:hAnsi="黑体" w:eastAsia="黑体" w:cs="黑体"/>
          <w:b w:val="0"/>
          <w:bCs w:val="0"/>
          <w:snapToGrid w:val="0"/>
          <w:color w:val="auto"/>
          <w:lang w:bidi="ar"/>
        </w:rPr>
        <w:t>构建新型监管机制</w:t>
      </w:r>
      <w:bookmarkEnd w:id="52"/>
    </w:p>
    <w:p>
      <w:pPr>
        <w:pStyle w:val="36"/>
        <w:numPr>
          <w:ilvl w:val="0"/>
          <w:numId w:val="0"/>
        </w:numPr>
        <w:ind w:firstLine="640" w:firstLineChars="200"/>
        <w:jc w:val="both"/>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拓展“双随机、一公开”监管。坚持双随机全面覆盖，除特殊重点领域和已掌握线索的靶向性监管外，针对市场主体的行政检查一律通过双随机抽查的方式进行。合理确定抽查范围、抽查行业、抽查比例、抽查频次和被抽查概率。巩固拓展部门联合“双随机、一公开”监管覆盖面。加快统一平台建设，加强结果运用，促进“双随机、一公开”监管与信用监管有效衔接，科学运用信用监管风险分类结果。</w:t>
      </w:r>
    </w:p>
    <w:p>
      <w:pPr>
        <w:spacing w:line="600" w:lineRule="exact"/>
        <w:ind w:firstLine="64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val="en-US" w:eastAsia="zh-CN"/>
        </w:rPr>
        <w:t xml:space="preserve"> </w:t>
      </w:r>
      <w:r>
        <w:rPr>
          <w:rFonts w:hint="eastAsia" w:ascii="仿宋_GB2312" w:hAnsi="仿宋_GB2312" w:eastAsia="仿宋_GB2312" w:cs="仿宋_GB2312"/>
          <w:snapToGrid w:val="0"/>
          <w:color w:val="auto"/>
          <w:kern w:val="0"/>
          <w:sz w:val="32"/>
          <w:szCs w:val="32"/>
        </w:rPr>
        <w:t>强化信用分级分类监管。</w:t>
      </w:r>
      <w:r>
        <w:rPr>
          <w:rFonts w:hint="eastAsia" w:ascii="仿宋_GB2312" w:hAnsi="仿宋_GB2312" w:eastAsia="仿宋_GB2312" w:cs="仿宋_GB2312"/>
          <w:snapToGrid w:val="0"/>
          <w:color w:val="auto"/>
          <w:kern w:val="0"/>
          <w:sz w:val="32"/>
          <w:szCs w:val="32"/>
          <w:lang w:eastAsia="zh-CN"/>
        </w:rPr>
        <w:t>依托</w:t>
      </w:r>
      <w:r>
        <w:rPr>
          <w:rFonts w:hint="eastAsia" w:ascii="仿宋_GB2312" w:hAnsi="仿宋_GB2312" w:eastAsia="仿宋_GB2312" w:cs="仿宋_GB2312"/>
          <w:snapToGrid w:val="0"/>
          <w:color w:val="auto"/>
          <w:kern w:val="0"/>
          <w:sz w:val="32"/>
          <w:szCs w:val="32"/>
        </w:rPr>
        <w:t>全省社会信用信息“一张网”建设，拓展“信用+”应用场景。利用省级平台，整合市场监管涉企信息，实现登记注册、行政审批、生产许可、产品认证、行政处罚、消费者投诉举报等信息“应归尽归”。支持多渠道公示市场主体信用信息，方便社会公众查询。建立健全守信联合激励和失信联合惩戒机制，规范“红黑名单”和信用修复管理。构建风险分类管理指标体系和风险监测预警模型，根据企业信用风险类别采取差异化监管措施。探索建立企业强制退出等制度。</w:t>
      </w:r>
    </w:p>
    <w:p>
      <w:pPr>
        <w:spacing w:line="600" w:lineRule="exact"/>
        <w:ind w:firstLine="64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val="en-US" w:eastAsia="zh-CN"/>
        </w:rPr>
        <w:t xml:space="preserve"> </w:t>
      </w:r>
      <w:r>
        <w:rPr>
          <w:rFonts w:hint="eastAsia" w:ascii="仿宋_GB2312" w:hAnsi="仿宋_GB2312" w:eastAsia="仿宋_GB2312" w:cs="仿宋_GB2312"/>
          <w:snapToGrid w:val="0"/>
          <w:color w:val="auto"/>
          <w:kern w:val="0"/>
          <w:sz w:val="32"/>
          <w:szCs w:val="32"/>
        </w:rPr>
        <w:t>创新重点领域现代监管。对直接涉及公共安全和人民群众生命健康等特殊重点领域，依法依规实行全覆盖的重点监管，强化全过程质量管理，严格落实生产、经营、使用、检测、监管等各环节质量和安全责任，守住质量和安全底线。建立健全以产品编码管理为手段的重要产品追溯体系，形成来源可查、去向可追、责任可究的信息链条。鼓励各地根据区域和行业风险特点，探索建立重点监管清单制度，严格控制重点监管事项数量，规范重点监管程序，并筛选确定重点监管的生产经营单位，实行跟踪监管、直接指导。</w:t>
      </w:r>
    </w:p>
    <w:p>
      <w:pPr>
        <w:spacing w:line="600" w:lineRule="exact"/>
        <w:ind w:firstLine="64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val="en-US" w:eastAsia="zh-CN"/>
        </w:rPr>
        <w:t xml:space="preserve"> </w:t>
      </w:r>
      <w:r>
        <w:rPr>
          <w:rFonts w:hint="eastAsia" w:ascii="仿宋_GB2312" w:hAnsi="仿宋_GB2312" w:eastAsia="仿宋_GB2312" w:cs="仿宋_GB2312"/>
          <w:snapToGrid w:val="0"/>
          <w:color w:val="auto"/>
          <w:kern w:val="0"/>
          <w:sz w:val="32"/>
          <w:szCs w:val="32"/>
        </w:rPr>
        <w:t>探索实行包容审慎监管。建立新兴行业引导和管理办法，分领域分类别完善监管规则和标准，提升信息检测、证据保全、在线识别、源头追溯等能力，在严守安全底线的前提下留足发展空间。加强和规范事中事后监管，鼓励各地结合实际探索制定支持新兴行业健康发展、实施包容审慎监管措施，加大行政指导力度，严格规范自由裁量权，切实减少对市场主体正常生产经营活动的干预。</w:t>
      </w:r>
    </w:p>
    <w:p>
      <w:pPr>
        <w:pStyle w:val="36"/>
        <w:ind w:firstLine="835" w:firstLineChars="261"/>
        <w:jc w:val="both"/>
        <w:outlineLvl w:val="2"/>
        <w:rPr>
          <w:rFonts w:hint="eastAsia" w:ascii="黑体" w:hAnsi="黑体" w:eastAsia="黑体" w:cs="黑体"/>
          <w:b w:val="0"/>
          <w:bCs w:val="0"/>
          <w:snapToGrid w:val="0"/>
          <w:color w:val="auto"/>
          <w:lang w:bidi="ar"/>
        </w:rPr>
      </w:pPr>
      <w:bookmarkStart w:id="53" w:name="_Toc77261206"/>
      <w:r>
        <w:rPr>
          <w:rFonts w:hint="eastAsia" w:ascii="黑体" w:hAnsi="黑体" w:eastAsia="黑体" w:cs="黑体"/>
          <w:b w:val="0"/>
          <w:bCs w:val="0"/>
          <w:snapToGrid w:val="0"/>
          <w:color w:val="auto"/>
          <w:lang w:eastAsia="zh-CN" w:bidi="ar"/>
        </w:rPr>
        <w:t>五、</w:t>
      </w:r>
      <w:r>
        <w:rPr>
          <w:rFonts w:hint="eastAsia" w:ascii="黑体" w:hAnsi="黑体" w:eastAsia="黑体" w:cs="黑体"/>
          <w:b w:val="0"/>
          <w:bCs w:val="0"/>
          <w:snapToGrid w:val="0"/>
          <w:color w:val="auto"/>
          <w:lang w:bidi="ar"/>
        </w:rPr>
        <w:t>构建多元共治格局</w:t>
      </w:r>
      <w:bookmarkEnd w:id="53"/>
      <w:bookmarkStart w:id="54" w:name="_Hlk74169798"/>
    </w:p>
    <w:bookmarkEnd w:id="54"/>
    <w:p>
      <w:pPr>
        <w:spacing w:line="600" w:lineRule="exact"/>
        <w:ind w:firstLine="640"/>
        <w:rPr>
          <w:rFonts w:hint="eastAsia" w:ascii="仿宋_GB2312" w:hAnsi="仿宋_GB2312" w:eastAsia="仿宋_GB2312" w:cs="仿宋_GB2312"/>
          <w:snapToGrid w:val="0"/>
          <w:color w:val="auto"/>
          <w:kern w:val="0"/>
          <w:sz w:val="32"/>
          <w:szCs w:val="32"/>
        </w:rPr>
      </w:pPr>
      <w:r>
        <w:rPr>
          <w:rFonts w:hint="eastAsia" w:ascii="楷体_GB2312" w:hAnsi="仿宋" w:eastAsia="楷体_GB2312" w:cs="Times New Roman"/>
          <w:snapToGrid w:val="0"/>
          <w:color w:val="auto"/>
          <w:kern w:val="0"/>
          <w:sz w:val="32"/>
          <w:szCs w:val="32"/>
          <w:lang w:val="en-US" w:eastAsia="zh-CN" w:bidi="ar"/>
        </w:rPr>
        <w:t xml:space="preserve"> </w:t>
      </w:r>
      <w:r>
        <w:rPr>
          <w:rFonts w:hint="eastAsia" w:ascii="仿宋_GB2312" w:hAnsi="仿宋_GB2312" w:eastAsia="仿宋_GB2312" w:cs="仿宋_GB2312"/>
          <w:snapToGrid w:val="0"/>
          <w:color w:val="auto"/>
          <w:kern w:val="0"/>
          <w:sz w:val="32"/>
          <w:szCs w:val="32"/>
          <w:lang w:val="en-US" w:eastAsia="zh-CN" w:bidi="ar"/>
        </w:rPr>
        <w:t>落实市场主体责任。</w:t>
      </w:r>
      <w:r>
        <w:rPr>
          <w:rFonts w:hint="eastAsia" w:ascii="仿宋_GB2312" w:hAnsi="仿宋_GB2312" w:eastAsia="仿宋_GB2312" w:cs="仿宋_GB2312"/>
          <w:snapToGrid w:val="0"/>
          <w:color w:val="auto"/>
          <w:kern w:val="0"/>
          <w:sz w:val="32"/>
          <w:szCs w:val="32"/>
          <w:lang w:val="zh-CN"/>
        </w:rPr>
        <w:t>督促市场主体严格遵守法律法规，</w:t>
      </w:r>
      <w:r>
        <w:rPr>
          <w:rFonts w:hint="eastAsia" w:ascii="仿宋_GB2312" w:hAnsi="仿宋_GB2312" w:eastAsia="仿宋_GB2312" w:cs="仿宋_GB2312"/>
          <w:snapToGrid w:val="0"/>
          <w:color w:val="auto"/>
          <w:kern w:val="0"/>
          <w:sz w:val="32"/>
          <w:szCs w:val="32"/>
          <w:lang w:eastAsia="zh-CN"/>
        </w:rPr>
        <w:t>倡导市场主体</w:t>
      </w:r>
      <w:r>
        <w:rPr>
          <w:rFonts w:hint="eastAsia" w:ascii="仿宋_GB2312" w:hAnsi="仿宋_GB2312" w:eastAsia="仿宋_GB2312" w:cs="仿宋_GB2312"/>
          <w:snapToGrid w:val="0"/>
          <w:color w:val="auto"/>
          <w:kern w:val="0"/>
          <w:sz w:val="32"/>
          <w:szCs w:val="32"/>
        </w:rPr>
        <w:t>诚信守法</w:t>
      </w:r>
      <w:r>
        <w:rPr>
          <w:rFonts w:hint="eastAsia" w:ascii="仿宋_GB2312" w:hAnsi="仿宋_GB2312" w:eastAsia="仿宋_GB2312" w:cs="仿宋_GB2312"/>
          <w:snapToGrid w:val="0"/>
          <w:color w:val="auto"/>
          <w:kern w:val="0"/>
          <w:sz w:val="32"/>
          <w:szCs w:val="32"/>
          <w:lang w:eastAsia="zh-CN"/>
        </w:rPr>
        <w:t>经营</w:t>
      </w:r>
      <w:r>
        <w:rPr>
          <w:rFonts w:hint="eastAsia" w:ascii="仿宋_GB2312" w:hAnsi="仿宋_GB2312" w:eastAsia="仿宋_GB2312" w:cs="仿宋_GB2312"/>
          <w:snapToGrid w:val="0"/>
          <w:color w:val="auto"/>
          <w:kern w:val="0"/>
          <w:sz w:val="32"/>
          <w:szCs w:val="32"/>
        </w:rPr>
        <w:t>，发扬企业家精神，勇于担当社会责任，履行社会义务。</w:t>
      </w:r>
      <w:r>
        <w:rPr>
          <w:rFonts w:hint="eastAsia" w:ascii="仿宋_GB2312" w:hAnsi="仿宋_GB2312" w:eastAsia="仿宋_GB2312" w:cs="仿宋_GB2312"/>
          <w:snapToGrid w:val="0"/>
          <w:color w:val="auto"/>
          <w:kern w:val="0"/>
          <w:sz w:val="32"/>
          <w:szCs w:val="32"/>
          <w:lang w:val="zh-CN"/>
        </w:rPr>
        <w:t>引导企业完善过程控制、安全保障、风险管控、责任落实、产品追溯等机制制度。</w:t>
      </w:r>
      <w:r>
        <w:rPr>
          <w:rFonts w:hint="eastAsia" w:ascii="仿宋_GB2312" w:hAnsi="仿宋_GB2312" w:eastAsia="仿宋_GB2312" w:cs="仿宋_GB2312"/>
          <w:snapToGrid w:val="0"/>
          <w:color w:val="auto"/>
          <w:kern w:val="0"/>
          <w:sz w:val="32"/>
          <w:szCs w:val="32"/>
        </w:rPr>
        <w:t>规范信息披露，推动企业开展标准自我声明和服务质量公开承诺</w:t>
      </w:r>
      <w:r>
        <w:rPr>
          <w:rFonts w:hint="eastAsia" w:ascii="仿宋_GB2312" w:hAnsi="仿宋_GB2312" w:eastAsia="仿宋_GB2312" w:cs="仿宋_GB2312"/>
          <w:snapToGrid w:val="0"/>
          <w:color w:val="auto"/>
          <w:kern w:val="0"/>
          <w:sz w:val="32"/>
          <w:szCs w:val="32"/>
          <w:lang w:eastAsia="zh-CN"/>
        </w:rPr>
        <w:t>。推进</w:t>
      </w:r>
      <w:r>
        <w:rPr>
          <w:rFonts w:hint="eastAsia" w:ascii="仿宋_GB2312" w:hAnsi="仿宋_GB2312" w:eastAsia="仿宋_GB2312" w:cs="仿宋_GB2312"/>
          <w:snapToGrid w:val="0"/>
          <w:color w:val="auto"/>
          <w:kern w:val="0"/>
          <w:sz w:val="32"/>
          <w:szCs w:val="32"/>
        </w:rPr>
        <w:t>信用承诺制度</w:t>
      </w:r>
      <w:r>
        <w:rPr>
          <w:rFonts w:hint="eastAsia" w:ascii="仿宋_GB2312" w:hAnsi="仿宋_GB2312" w:eastAsia="仿宋_GB2312" w:cs="仿宋_GB2312"/>
          <w:snapToGrid w:val="0"/>
          <w:color w:val="auto"/>
          <w:kern w:val="0"/>
          <w:sz w:val="32"/>
          <w:szCs w:val="32"/>
          <w:lang w:eastAsia="zh-CN"/>
        </w:rPr>
        <w:t>实施</w:t>
      </w:r>
      <w:r>
        <w:rPr>
          <w:rFonts w:hint="eastAsia" w:ascii="仿宋_GB2312" w:hAnsi="仿宋_GB2312" w:eastAsia="仿宋_GB2312" w:cs="仿宋_GB2312"/>
          <w:snapToGrid w:val="0"/>
          <w:color w:val="auto"/>
          <w:kern w:val="0"/>
          <w:sz w:val="32"/>
          <w:szCs w:val="32"/>
        </w:rPr>
        <w:t>，将市场主体信用承诺履行情况纳入信用记录。推动建立消费品质量安全事故强制报告制度，切实保障公众知情权</w:t>
      </w:r>
      <w:r>
        <w:rPr>
          <w:rFonts w:hint="eastAsia" w:ascii="仿宋_GB2312" w:hAnsi="仿宋_GB2312" w:eastAsia="仿宋_GB2312" w:cs="仿宋_GB2312"/>
          <w:snapToGrid w:val="0"/>
          <w:color w:val="auto"/>
          <w:kern w:val="0"/>
          <w:sz w:val="32"/>
          <w:szCs w:val="32"/>
          <w:lang w:eastAsia="zh-CN"/>
        </w:rPr>
        <w:t>和安全权</w:t>
      </w:r>
      <w:r>
        <w:rPr>
          <w:rFonts w:hint="eastAsia" w:ascii="仿宋_GB2312" w:hAnsi="仿宋_GB2312" w:eastAsia="仿宋_GB2312" w:cs="仿宋_GB2312"/>
          <w:snapToGrid w:val="0"/>
          <w:color w:val="auto"/>
          <w:kern w:val="0"/>
          <w:sz w:val="32"/>
          <w:szCs w:val="32"/>
        </w:rPr>
        <w:t>。</w:t>
      </w:r>
    </w:p>
    <w:p>
      <w:pPr>
        <w:pStyle w:val="36"/>
        <w:ind w:firstLine="640"/>
        <w:jc w:val="both"/>
        <w:rPr>
          <w:rFonts w:hint="eastAsia" w:ascii="仿宋_GB2312" w:hAnsi="仿宋_GB2312" w:eastAsia="仿宋_GB2312" w:cs="仿宋_GB2312"/>
          <w:snapToGrid w:val="0"/>
          <w:color w:val="auto"/>
          <w:sz w:val="32"/>
          <w:szCs w:val="32"/>
          <w:lang w:eastAsia="zh-CN" w:bidi="ar"/>
        </w:rPr>
      </w:pPr>
      <w:r>
        <w:rPr>
          <w:rFonts w:hint="eastAsia" w:ascii="仿宋_GB2312" w:hAnsi="仿宋_GB2312" w:eastAsia="仿宋_GB2312" w:cs="仿宋_GB2312"/>
          <w:snapToGrid w:val="0"/>
          <w:color w:val="auto"/>
          <w:sz w:val="32"/>
          <w:szCs w:val="32"/>
          <w:lang w:val="en-US" w:eastAsia="zh-CN" w:bidi="ar"/>
        </w:rPr>
        <w:t xml:space="preserve"> </w:t>
      </w:r>
      <w:r>
        <w:rPr>
          <w:rFonts w:hint="eastAsia" w:ascii="仿宋_GB2312" w:hAnsi="仿宋_GB2312" w:eastAsia="仿宋_GB2312" w:cs="仿宋_GB2312"/>
          <w:snapToGrid w:val="0"/>
          <w:color w:val="auto"/>
          <w:sz w:val="32"/>
          <w:szCs w:val="32"/>
          <w:lang w:bidi="ar"/>
        </w:rPr>
        <w:t>落实地方属地责任。充分发挥地方政府在市场监管</w:t>
      </w:r>
      <w:r>
        <w:rPr>
          <w:rFonts w:hint="eastAsia" w:ascii="仿宋_GB2312" w:hAnsi="仿宋_GB2312" w:eastAsia="仿宋_GB2312" w:cs="仿宋_GB2312"/>
          <w:snapToGrid w:val="0"/>
          <w:color w:val="auto"/>
          <w:sz w:val="32"/>
          <w:szCs w:val="32"/>
          <w:lang w:eastAsia="zh-CN" w:bidi="ar"/>
        </w:rPr>
        <w:t>工作</w:t>
      </w:r>
      <w:r>
        <w:rPr>
          <w:rFonts w:hint="eastAsia" w:ascii="仿宋_GB2312" w:hAnsi="仿宋_GB2312" w:eastAsia="仿宋_GB2312" w:cs="仿宋_GB2312"/>
          <w:snapToGrid w:val="0"/>
          <w:color w:val="auto"/>
          <w:sz w:val="32"/>
          <w:szCs w:val="32"/>
          <w:lang w:bidi="ar"/>
        </w:rPr>
        <w:t>中</w:t>
      </w:r>
      <w:r>
        <w:rPr>
          <w:rFonts w:hint="eastAsia" w:ascii="仿宋_GB2312" w:hAnsi="仿宋_GB2312" w:eastAsia="仿宋_GB2312" w:cs="仿宋_GB2312"/>
          <w:snapToGrid w:val="0"/>
          <w:color w:val="auto"/>
          <w:sz w:val="32"/>
          <w:szCs w:val="32"/>
          <w:lang w:eastAsia="zh-CN" w:bidi="ar"/>
        </w:rPr>
        <w:t>统筹部署</w:t>
      </w:r>
      <w:r>
        <w:rPr>
          <w:rFonts w:hint="eastAsia" w:ascii="仿宋_GB2312" w:hAnsi="仿宋_GB2312" w:eastAsia="仿宋_GB2312" w:cs="仿宋_GB2312"/>
          <w:snapToGrid w:val="0"/>
          <w:color w:val="auto"/>
          <w:sz w:val="32"/>
          <w:szCs w:val="32"/>
          <w:lang w:bidi="ar"/>
        </w:rPr>
        <w:t>、协调</w:t>
      </w:r>
      <w:r>
        <w:rPr>
          <w:rFonts w:hint="eastAsia" w:ascii="仿宋_GB2312" w:hAnsi="仿宋_GB2312" w:eastAsia="仿宋_GB2312" w:cs="仿宋_GB2312"/>
          <w:snapToGrid w:val="0"/>
          <w:color w:val="auto"/>
          <w:sz w:val="32"/>
          <w:szCs w:val="32"/>
          <w:lang w:eastAsia="zh-CN" w:bidi="ar"/>
        </w:rPr>
        <w:t>推动</w:t>
      </w:r>
      <w:r>
        <w:rPr>
          <w:rFonts w:hint="eastAsia" w:ascii="仿宋_GB2312" w:hAnsi="仿宋_GB2312" w:eastAsia="仿宋_GB2312" w:cs="仿宋_GB2312"/>
          <w:snapToGrid w:val="0"/>
          <w:color w:val="auto"/>
          <w:sz w:val="32"/>
          <w:szCs w:val="32"/>
          <w:lang w:bidi="ar"/>
        </w:rPr>
        <w:t>的领导作用，按照“分级负责、属地管理”的原则，督促各方履行职责。</w:t>
      </w:r>
      <w:r>
        <w:rPr>
          <w:rFonts w:hint="eastAsia" w:ascii="仿宋_GB2312" w:hAnsi="仿宋_GB2312" w:eastAsia="仿宋_GB2312" w:cs="仿宋_GB2312"/>
          <w:snapToGrid w:val="0"/>
          <w:color w:val="auto"/>
          <w:sz w:val="32"/>
          <w:szCs w:val="32"/>
          <w:lang w:eastAsia="zh-CN" w:bidi="ar"/>
        </w:rPr>
        <w:t>用好食品药品安全、质量工作、民营经济等考核作用，</w:t>
      </w:r>
      <w:r>
        <w:rPr>
          <w:rFonts w:hint="eastAsia" w:ascii="仿宋_GB2312" w:hAnsi="仿宋_GB2312" w:eastAsia="仿宋_GB2312" w:cs="仿宋_GB2312"/>
          <w:snapToGrid w:val="0"/>
          <w:color w:val="auto"/>
          <w:sz w:val="32"/>
          <w:szCs w:val="32"/>
          <w:lang w:bidi="ar"/>
        </w:rPr>
        <w:t>层层传导压力，压实</w:t>
      </w:r>
      <w:r>
        <w:rPr>
          <w:rFonts w:hint="eastAsia" w:ascii="仿宋_GB2312" w:hAnsi="仿宋_GB2312" w:eastAsia="仿宋_GB2312" w:cs="仿宋_GB2312"/>
          <w:snapToGrid w:val="0"/>
          <w:color w:val="auto"/>
          <w:sz w:val="32"/>
          <w:szCs w:val="32"/>
          <w:lang w:eastAsia="zh-CN" w:bidi="ar"/>
        </w:rPr>
        <w:t>各地各相关部门</w:t>
      </w:r>
      <w:r>
        <w:rPr>
          <w:rFonts w:hint="eastAsia" w:ascii="仿宋_GB2312" w:hAnsi="仿宋_GB2312" w:eastAsia="仿宋_GB2312" w:cs="仿宋_GB2312"/>
          <w:snapToGrid w:val="0"/>
          <w:color w:val="auto"/>
          <w:sz w:val="32"/>
          <w:szCs w:val="32"/>
          <w:lang w:bidi="ar"/>
        </w:rPr>
        <w:t>责任。</w:t>
      </w:r>
      <w:r>
        <w:rPr>
          <w:rFonts w:hint="eastAsia" w:ascii="仿宋_GB2312" w:hAnsi="仿宋_GB2312" w:eastAsia="仿宋_GB2312" w:cs="仿宋_GB2312"/>
          <w:snapToGrid w:val="0"/>
          <w:color w:val="auto"/>
          <w:sz w:val="32"/>
          <w:szCs w:val="32"/>
          <w:lang w:eastAsia="zh-CN" w:bidi="ar"/>
        </w:rPr>
        <w:t>加快推进基层市场监管制度创新和能力建设，支持各地开展改革探索，创造符合本地实际的市场监管模式。</w:t>
      </w:r>
    </w:p>
    <w:p>
      <w:pPr>
        <w:pStyle w:val="36"/>
        <w:ind w:firstLine="640"/>
        <w:jc w:val="both"/>
        <w:rPr>
          <w:rFonts w:hint="eastAsia" w:ascii="仿宋_GB2312" w:hAnsi="仿宋_GB2312" w:eastAsia="仿宋_GB2312" w:cs="仿宋_GB2312"/>
          <w:snapToGrid w:val="0"/>
          <w:color w:val="auto"/>
          <w:sz w:val="32"/>
          <w:szCs w:val="32"/>
          <w:lang w:bidi="ar"/>
        </w:rPr>
      </w:pPr>
      <w:r>
        <w:rPr>
          <w:rFonts w:hint="eastAsia" w:ascii="仿宋_GB2312" w:hAnsi="仿宋_GB2312" w:eastAsia="仿宋_GB2312" w:cs="仿宋_GB2312"/>
          <w:snapToGrid w:val="0"/>
          <w:color w:val="auto"/>
          <w:sz w:val="32"/>
          <w:szCs w:val="32"/>
          <w:lang w:val="en-US" w:eastAsia="zh-CN" w:bidi="ar"/>
        </w:rPr>
        <w:t xml:space="preserve"> </w:t>
      </w:r>
      <w:r>
        <w:rPr>
          <w:rFonts w:hint="eastAsia" w:ascii="仿宋_GB2312" w:hAnsi="仿宋_GB2312" w:eastAsia="仿宋_GB2312" w:cs="仿宋_GB2312"/>
          <w:snapToGrid w:val="0"/>
          <w:color w:val="auto"/>
          <w:sz w:val="32"/>
          <w:szCs w:val="32"/>
          <w:lang w:bidi="ar"/>
        </w:rPr>
        <w:t>落实部门监管职责。坚持“谁审批、谁监管，谁主管、谁监管”原则，落实部门监管责任。进一步厘清市场监管、行业主管职责边界，加强行业准入和市场主体登记的协同，清晰界定规范行业发展和监管市场行为等的事权。坚持管行业必须管安全、管业务必须管安全、管生产经营必须管安全，</w:t>
      </w:r>
      <w:r>
        <w:rPr>
          <w:rFonts w:hint="eastAsia" w:ascii="仿宋_GB2312" w:hAnsi="仿宋_GB2312" w:eastAsia="仿宋_GB2312" w:cs="仿宋_GB2312"/>
          <w:snapToGrid w:val="0"/>
          <w:color w:val="auto"/>
          <w:sz w:val="32"/>
          <w:szCs w:val="32"/>
          <w:lang w:eastAsia="zh-CN" w:bidi="ar"/>
        </w:rPr>
        <w:t>落实相关部门的</w:t>
      </w:r>
      <w:r>
        <w:rPr>
          <w:rFonts w:hint="eastAsia" w:ascii="仿宋_GB2312" w:hAnsi="仿宋_GB2312" w:eastAsia="仿宋_GB2312" w:cs="仿宋_GB2312"/>
          <w:snapToGrid w:val="0"/>
          <w:color w:val="auto"/>
          <w:sz w:val="32"/>
          <w:szCs w:val="32"/>
          <w:lang w:bidi="ar"/>
        </w:rPr>
        <w:t>监管责任。充分发挥市场监管领域议事协调机构作用，强化协同沟通协调，建立共享机制，明确共享责任义务、规范共享程序，实现对核心数据的共享共用。完善线索共享、案件移送、协同查处、联合督办、沟通联络、信息发布等工作机制，促进制度创新和流程优化，实现市场监管领域部门联动监管。</w:t>
      </w:r>
    </w:p>
    <w:p>
      <w:pPr>
        <w:pStyle w:val="36"/>
        <w:ind w:firstLine="640"/>
        <w:jc w:val="both"/>
        <w:rPr>
          <w:rFonts w:hint="eastAsia" w:ascii="仿宋_GB2312" w:hAnsi="仿宋_GB2312" w:eastAsia="仿宋_GB2312" w:cs="仿宋_GB2312"/>
          <w:snapToGrid w:val="0"/>
          <w:color w:val="auto"/>
          <w:sz w:val="32"/>
          <w:szCs w:val="32"/>
          <w:lang w:bidi="ar"/>
        </w:rPr>
      </w:pPr>
      <w:r>
        <w:rPr>
          <w:rFonts w:hint="eastAsia" w:ascii="仿宋_GB2312" w:hAnsi="仿宋_GB2312" w:eastAsia="仿宋_GB2312" w:cs="仿宋_GB2312"/>
          <w:snapToGrid w:val="0"/>
          <w:color w:val="auto"/>
          <w:sz w:val="32"/>
          <w:szCs w:val="32"/>
          <w:lang w:val="en-US" w:eastAsia="zh-CN" w:bidi="ar"/>
        </w:rPr>
        <w:t xml:space="preserve"> </w:t>
      </w:r>
      <w:r>
        <w:rPr>
          <w:rFonts w:hint="eastAsia" w:ascii="仿宋_GB2312" w:hAnsi="仿宋_GB2312" w:eastAsia="仿宋_GB2312" w:cs="仿宋_GB2312"/>
          <w:snapToGrid w:val="0"/>
          <w:color w:val="auto"/>
          <w:sz w:val="32"/>
          <w:szCs w:val="32"/>
          <w:lang w:bidi="ar"/>
        </w:rPr>
        <w:t>提升行业自律水平。指导行业协会</w:t>
      </w:r>
      <w:r>
        <w:rPr>
          <w:rFonts w:hint="eastAsia" w:ascii="仿宋_GB2312" w:hAnsi="仿宋_GB2312" w:eastAsia="仿宋_GB2312" w:cs="仿宋_GB2312"/>
          <w:snapToGrid w:val="0"/>
          <w:color w:val="auto"/>
          <w:sz w:val="32"/>
          <w:szCs w:val="32"/>
          <w:lang w:eastAsia="zh-CN" w:bidi="ar"/>
        </w:rPr>
        <w:t>、</w:t>
      </w:r>
      <w:r>
        <w:rPr>
          <w:rFonts w:hint="eastAsia" w:ascii="仿宋_GB2312" w:hAnsi="仿宋_GB2312" w:eastAsia="仿宋_GB2312" w:cs="仿宋_GB2312"/>
          <w:snapToGrid w:val="0"/>
          <w:color w:val="auto"/>
          <w:sz w:val="32"/>
          <w:szCs w:val="32"/>
          <w:lang w:bidi="ar"/>
        </w:rPr>
        <w:t>商会健全行业经营自律规范、自律公约和职业道德准</w:t>
      </w:r>
      <w:r>
        <w:rPr>
          <w:rFonts w:hint="eastAsia" w:ascii="仿宋_GB2312" w:hAnsi="仿宋_GB2312" w:eastAsia="仿宋_GB2312" w:cs="仿宋_GB2312"/>
          <w:snapToGrid w:val="0"/>
          <w:color w:val="auto"/>
          <w:sz w:val="32"/>
          <w:szCs w:val="32"/>
          <w:lang w:eastAsia="zh-CN" w:bidi="ar"/>
        </w:rPr>
        <w:t>则。</w:t>
      </w:r>
      <w:r>
        <w:rPr>
          <w:rFonts w:hint="eastAsia" w:ascii="仿宋_GB2312" w:hAnsi="仿宋_GB2312" w:eastAsia="仿宋_GB2312" w:cs="仿宋_GB2312"/>
          <w:snapToGrid w:val="0"/>
          <w:color w:val="auto"/>
          <w:sz w:val="32"/>
          <w:szCs w:val="32"/>
          <w:lang w:bidi="ar"/>
        </w:rPr>
        <w:t>鼓励行业协会</w:t>
      </w:r>
      <w:r>
        <w:rPr>
          <w:rFonts w:hint="eastAsia" w:ascii="仿宋_GB2312" w:hAnsi="仿宋_GB2312" w:eastAsia="仿宋_GB2312" w:cs="仿宋_GB2312"/>
          <w:snapToGrid w:val="0"/>
          <w:color w:val="auto"/>
          <w:sz w:val="32"/>
          <w:szCs w:val="32"/>
          <w:lang w:eastAsia="zh-CN" w:bidi="ar"/>
        </w:rPr>
        <w:t>、</w:t>
      </w:r>
      <w:r>
        <w:rPr>
          <w:rFonts w:hint="eastAsia" w:ascii="仿宋_GB2312" w:hAnsi="仿宋_GB2312" w:eastAsia="仿宋_GB2312" w:cs="仿宋_GB2312"/>
          <w:snapToGrid w:val="0"/>
          <w:color w:val="auto"/>
          <w:sz w:val="32"/>
          <w:szCs w:val="32"/>
          <w:lang w:bidi="ar"/>
        </w:rPr>
        <w:t>商会参与制定国家标准、行业规划和政策法规，制定发布行业产品和服务标准。充分发挥行业协会社会化平台优势，</w:t>
      </w:r>
      <w:r>
        <w:rPr>
          <w:rFonts w:hint="eastAsia" w:ascii="仿宋_GB2312" w:hAnsi="仿宋_GB2312" w:eastAsia="仿宋_GB2312" w:cs="仿宋_GB2312"/>
          <w:snapToGrid w:val="0"/>
          <w:color w:val="auto"/>
          <w:sz w:val="32"/>
          <w:szCs w:val="32"/>
          <w:lang w:eastAsia="zh-CN" w:bidi="ar"/>
        </w:rPr>
        <w:t>发挥其在加强自我管理、自我监督、倡导行业自律、促进行业健康发展方面的重要作用，</w:t>
      </w:r>
      <w:r>
        <w:rPr>
          <w:rFonts w:hint="eastAsia" w:ascii="仿宋_GB2312" w:hAnsi="仿宋_GB2312" w:eastAsia="仿宋_GB2312" w:cs="仿宋_GB2312"/>
          <w:snapToGrid w:val="0"/>
          <w:color w:val="auto"/>
          <w:sz w:val="32"/>
          <w:szCs w:val="32"/>
          <w:lang w:bidi="ar"/>
        </w:rPr>
        <w:t>加快形成行业相互监督、规范发展良性格局。发挥</w:t>
      </w:r>
      <w:r>
        <w:rPr>
          <w:rFonts w:hint="eastAsia" w:ascii="仿宋_GB2312" w:hAnsi="仿宋_GB2312" w:eastAsia="仿宋_GB2312" w:cs="仿宋_GB2312"/>
          <w:snapToGrid w:val="0"/>
          <w:color w:val="auto"/>
          <w:sz w:val="32"/>
          <w:szCs w:val="32"/>
          <w:lang w:eastAsia="zh-CN" w:bidi="ar"/>
        </w:rPr>
        <w:t>乡镇食品安全协管员、法律明白人等网格员</w:t>
      </w:r>
      <w:r>
        <w:rPr>
          <w:rFonts w:hint="eastAsia" w:ascii="仿宋_GB2312" w:hAnsi="仿宋_GB2312" w:eastAsia="仿宋_GB2312" w:cs="仿宋_GB2312"/>
          <w:snapToGrid w:val="0"/>
          <w:color w:val="auto"/>
          <w:sz w:val="32"/>
          <w:szCs w:val="32"/>
          <w:lang w:bidi="ar"/>
        </w:rPr>
        <w:t>在基层市场监管中的重要作用。</w:t>
      </w:r>
    </w:p>
    <w:p>
      <w:pPr>
        <w:spacing w:line="600" w:lineRule="exact"/>
        <w:ind w:firstLine="642"/>
        <w:rPr>
          <w:rFonts w:hint="eastAsia" w:ascii="仿宋_GB2312" w:hAnsi="仿宋_GB2312" w:eastAsia="仿宋_GB2312" w:cs="仿宋_GB2312"/>
          <w:snapToGrid w:val="0"/>
          <w:color w:val="auto"/>
          <w:kern w:val="0"/>
          <w:sz w:val="32"/>
          <w:szCs w:val="32"/>
          <w:lang w:val="en-US" w:eastAsia="zh-CN" w:bidi="ar"/>
        </w:rPr>
      </w:pPr>
      <w:r>
        <w:rPr>
          <w:rFonts w:hint="eastAsia" w:ascii="仿宋_GB2312" w:hAnsi="仿宋_GB2312" w:eastAsia="仿宋_GB2312" w:cs="仿宋_GB2312"/>
          <w:snapToGrid w:val="0"/>
          <w:color w:val="auto"/>
          <w:kern w:val="0"/>
          <w:sz w:val="32"/>
          <w:szCs w:val="32"/>
          <w:lang w:val="en-US" w:eastAsia="zh-CN" w:bidi="ar"/>
        </w:rPr>
        <w:t xml:space="preserve"> 发挥社会监督作用。</w:t>
      </w:r>
      <w:r>
        <w:rPr>
          <w:rFonts w:hint="eastAsia" w:ascii="仿宋_GB2312" w:hAnsi="仿宋_GB2312" w:eastAsia="仿宋_GB2312" w:cs="仿宋_GB2312"/>
          <w:snapToGrid w:val="0"/>
          <w:color w:val="auto"/>
          <w:kern w:val="0"/>
          <w:sz w:val="32"/>
          <w:szCs w:val="32"/>
          <w:lang w:val="zh-CN" w:eastAsia="zh-CN" w:bidi="ar"/>
        </w:rPr>
        <w:t>充分发挥质量、食品安全等第三方机构满意度调查作用，帮助发现问题、推动整改提升。鼓励实行食品药品、安全生产等领域的责任保险，形成多方参与、风险共担的社会救济机制。引入专业技术力量服务政府、企业和市场监管，搭建专业高效信息化平台、大数据监管平台，提升参与度和共治效能。</w:t>
      </w:r>
      <w:r>
        <w:rPr>
          <w:rFonts w:hint="eastAsia" w:ascii="仿宋_GB2312" w:hAnsi="仿宋_GB2312" w:eastAsia="仿宋_GB2312" w:cs="仿宋_GB2312"/>
          <w:snapToGrid w:val="0"/>
          <w:color w:val="auto"/>
          <w:kern w:val="0"/>
          <w:sz w:val="32"/>
          <w:szCs w:val="32"/>
          <w:lang w:val="en-US" w:eastAsia="zh-CN" w:bidi="ar"/>
        </w:rPr>
        <w:t>畅通投诉举报渠道，强化有奖举报奖励制度的运用，调动群众参与监督，依法规范牟利性“打假”和索赔行为。发挥会计师事务所、审计师事务所、税务师事务所、检验检测认证机构等专业机构的监督作用，在监管执法中更多参考专业意见。加强信息公开、新闻宣传与舆论引导，加强网站与政务新媒体建设，加强与主流媒体的协作，主动公开市场监管相关信息，回应社会关切，适时发布典型案件，震慑违法犯罪行为</w:t>
      </w:r>
      <w:bookmarkEnd w:id="48"/>
      <w:r>
        <w:rPr>
          <w:rFonts w:hint="eastAsia" w:ascii="仿宋_GB2312" w:hAnsi="仿宋_GB2312" w:eastAsia="仿宋_GB2312" w:cs="仿宋_GB2312"/>
          <w:snapToGrid w:val="0"/>
          <w:color w:val="auto"/>
          <w:kern w:val="0"/>
          <w:sz w:val="32"/>
          <w:szCs w:val="32"/>
          <w:lang w:val="en-US" w:eastAsia="zh-CN" w:bidi="ar"/>
        </w:rPr>
        <w:t>，形成全社会支持、参与市场监管现代化治理的良好氛围。</w:t>
      </w:r>
    </w:p>
    <w:p>
      <w:pPr>
        <w:pStyle w:val="36"/>
        <w:jc w:val="both"/>
        <w:outlineLvl w:val="2"/>
        <w:rPr>
          <w:rFonts w:hint="eastAsia" w:ascii="黑体" w:hAnsi="黑体" w:eastAsia="黑体" w:cs="黑体"/>
          <w:b w:val="0"/>
          <w:bCs w:val="0"/>
          <w:snapToGrid w:val="0"/>
          <w:color w:val="auto"/>
          <w:lang w:bidi="ar"/>
        </w:rPr>
      </w:pPr>
      <w:bookmarkStart w:id="55" w:name="_Toc77261207"/>
      <w:r>
        <w:rPr>
          <w:rFonts w:hint="eastAsia" w:ascii="黑体" w:hAnsi="黑体" w:eastAsia="黑体" w:cs="黑体"/>
          <w:b w:val="0"/>
          <w:bCs w:val="0"/>
          <w:snapToGrid w:val="0"/>
          <w:color w:val="auto"/>
          <w:lang w:eastAsia="zh-CN" w:bidi="ar"/>
        </w:rPr>
        <w:t>六、</w:t>
      </w:r>
      <w:r>
        <w:rPr>
          <w:rFonts w:hint="eastAsia" w:ascii="黑体" w:hAnsi="黑体" w:eastAsia="黑体" w:cs="黑体"/>
          <w:b w:val="0"/>
          <w:bCs w:val="0"/>
          <w:snapToGrid w:val="0"/>
          <w:color w:val="auto"/>
          <w:lang w:bidi="ar"/>
        </w:rPr>
        <w:t>深化区域交流合作</w:t>
      </w:r>
      <w:bookmarkEnd w:id="55"/>
    </w:p>
    <w:p>
      <w:pPr>
        <w:pStyle w:val="36"/>
        <w:ind w:firstLine="640"/>
        <w:rPr>
          <w:rFonts w:ascii="仿宋_GB2312" w:eastAsia="仿宋_GB2312"/>
          <w:snapToGrid w:val="0"/>
          <w:color w:val="auto"/>
          <w:lang w:bidi="ar"/>
        </w:rPr>
      </w:pPr>
      <w:r>
        <w:rPr>
          <w:rFonts w:hint="eastAsia" w:ascii="仿宋_GB2312" w:eastAsia="仿宋_GB2312"/>
          <w:snapToGrid w:val="0"/>
          <w:color w:val="auto"/>
          <w:lang w:bidi="ar"/>
        </w:rPr>
        <w:t>紧扣深化成渝地区双城经济圈建设，加强乐山市市场监管局与重庆武隆区市场监管局的合作，</w:t>
      </w:r>
      <w:r>
        <w:rPr>
          <w:rFonts w:hint="eastAsia" w:ascii="仿宋_GB2312" w:eastAsia="仿宋_GB2312"/>
          <w:snapToGrid w:val="0"/>
          <w:color w:val="auto"/>
          <w:lang w:eastAsia="zh-CN" w:bidi="ar"/>
        </w:rPr>
        <w:t>依托川渝市场监管合作机制，</w:t>
      </w:r>
      <w:r>
        <w:rPr>
          <w:rFonts w:hint="eastAsia" w:ascii="仿宋_GB2312" w:eastAsia="仿宋_GB2312"/>
          <w:snapToGrid w:val="0"/>
          <w:color w:val="auto"/>
          <w:lang w:bidi="ar"/>
        </w:rPr>
        <w:t>推进乐武两地市场数据共享运用，异地同标办理市场准入，建立两地重点行业监管、质量与品牌建设、执法办案、</w:t>
      </w:r>
      <w:r>
        <w:rPr>
          <w:rFonts w:hint="eastAsia" w:ascii="仿宋_GB2312" w:eastAsia="仿宋_GB2312"/>
          <w:snapToGrid w:val="0"/>
          <w:color w:val="auto"/>
          <w:lang w:eastAsia="zh-CN" w:bidi="ar"/>
        </w:rPr>
        <w:t>消费</w:t>
      </w:r>
      <w:r>
        <w:rPr>
          <w:rFonts w:hint="eastAsia" w:ascii="仿宋_GB2312" w:eastAsia="仿宋_GB2312"/>
          <w:snapToGrid w:val="0"/>
          <w:color w:val="auto"/>
          <w:lang w:bidi="ar"/>
        </w:rPr>
        <w:t>维权、知识产权等领域合作新机制。完善跨区域市场监管稽查执法机制，加强市场监管部门内部力量的沟通协调，健全执法人员抽调制度和跨区域高效联动执法机制，组织查办、督查督办有影响、跨区域的大案要案。</w:t>
      </w:r>
    </w:p>
    <w:p>
      <w:pPr>
        <w:pStyle w:val="5"/>
        <w:ind w:firstLine="643"/>
        <w:jc w:val="center"/>
        <w:rPr>
          <w:rFonts w:ascii="Times New Roman" w:hAnsi="Times New Roman" w:eastAsia="楷体_GB2312"/>
          <w:snapToGrid w:val="0"/>
          <w:color w:val="auto"/>
          <w:kern w:val="0"/>
          <w:lang w:bidi="ar"/>
        </w:rPr>
      </w:pPr>
      <w:bookmarkStart w:id="56" w:name="_Toc77261208"/>
      <w:r>
        <w:rPr>
          <w:rFonts w:hint="eastAsia" w:ascii="Times New Roman" w:hAnsi="Times New Roman" w:eastAsia="楷体_GB2312" w:cs="Times New Roman"/>
          <w:snapToGrid w:val="0"/>
          <w:color w:val="auto"/>
          <w:kern w:val="0"/>
        </w:rPr>
        <w:t>第</w:t>
      </w:r>
      <w:r>
        <w:rPr>
          <w:rFonts w:hint="eastAsia" w:ascii="Times New Roman" w:hAnsi="Times New Roman" w:eastAsia="楷体_GB2312" w:cs="Times New Roman"/>
          <w:snapToGrid w:val="0"/>
          <w:color w:val="auto"/>
          <w:kern w:val="0"/>
          <w:lang w:eastAsia="zh-CN"/>
        </w:rPr>
        <w:t>六</w:t>
      </w:r>
      <w:r>
        <w:rPr>
          <w:rFonts w:hint="eastAsia" w:ascii="Times New Roman" w:hAnsi="Times New Roman" w:eastAsia="楷体_GB2312" w:cs="Times New Roman"/>
          <w:snapToGrid w:val="0"/>
          <w:color w:val="auto"/>
          <w:kern w:val="0"/>
        </w:rPr>
        <w:t>节 市场监管技术创新工程</w:t>
      </w:r>
      <w:bookmarkEnd w:id="56"/>
    </w:p>
    <w:p>
      <w:pPr>
        <w:pStyle w:val="36"/>
        <w:ind w:firstLine="640"/>
        <w:jc w:val="both"/>
        <w:rPr>
          <w:rFonts w:ascii="仿宋_GB2312" w:eastAsia="仿宋_GB2312"/>
          <w:snapToGrid w:val="0"/>
          <w:color w:val="auto"/>
          <w:lang w:bidi="ar"/>
        </w:rPr>
      </w:pPr>
      <w:r>
        <w:rPr>
          <w:rFonts w:hint="eastAsia" w:ascii="仿宋_GB2312" w:eastAsia="仿宋_GB2312"/>
          <w:snapToGrid w:val="0"/>
          <w:color w:val="auto"/>
          <w:lang w:bidi="ar"/>
        </w:rPr>
        <w:t>围绕乐山建设现代产业体系、产业融合发展及市场监管所需的科技技术支撑，深化计量、质检、特种设备、</w:t>
      </w:r>
      <w:r>
        <w:rPr>
          <w:rFonts w:hint="eastAsia" w:ascii="仿宋_GB2312" w:eastAsia="仿宋_GB2312"/>
          <w:snapToGrid w:val="0"/>
          <w:color w:val="auto"/>
          <w:lang w:eastAsia="zh-CN" w:bidi="ar"/>
        </w:rPr>
        <w:t>食品</w:t>
      </w:r>
      <w:r>
        <w:rPr>
          <w:rFonts w:hint="eastAsia" w:ascii="仿宋_GB2312" w:eastAsia="仿宋_GB2312"/>
          <w:snapToGrid w:val="0"/>
          <w:color w:val="auto"/>
          <w:lang w:bidi="ar"/>
        </w:rPr>
        <w:t>药品检测</w:t>
      </w:r>
      <w:r>
        <w:rPr>
          <w:rFonts w:hint="eastAsia" w:ascii="仿宋_GB2312" w:eastAsia="仿宋_GB2312"/>
          <w:snapToGrid w:val="0"/>
          <w:color w:val="auto"/>
          <w:lang w:eastAsia="zh-CN" w:bidi="ar"/>
        </w:rPr>
        <w:t>检测机构和县级技术机构</w:t>
      </w:r>
      <w:r>
        <w:rPr>
          <w:rFonts w:hint="eastAsia" w:ascii="仿宋_GB2312" w:eastAsia="仿宋_GB2312"/>
          <w:snapToGrid w:val="0"/>
          <w:color w:val="auto"/>
          <w:lang w:bidi="ar"/>
        </w:rPr>
        <w:t>的创新改革，创建一批区域性的国、省级重点实验室等科研平台或创新中心，强化创新引领，支撑市场监管</w:t>
      </w:r>
      <w:r>
        <w:rPr>
          <w:rFonts w:hint="eastAsia" w:ascii="仿宋_GB2312" w:eastAsia="仿宋_GB2312"/>
          <w:snapToGrid w:val="0"/>
          <w:color w:val="auto"/>
          <w:lang w:eastAsia="zh-CN" w:bidi="ar"/>
        </w:rPr>
        <w:t>和产业发展的</w:t>
      </w:r>
      <w:r>
        <w:rPr>
          <w:rFonts w:hint="eastAsia" w:ascii="仿宋_GB2312" w:eastAsia="仿宋_GB2312"/>
          <w:snapToGrid w:val="0"/>
          <w:color w:val="auto"/>
          <w:lang w:bidi="ar"/>
        </w:rPr>
        <w:t>现代化、科技化和信息化落地。</w:t>
      </w:r>
    </w:p>
    <w:p>
      <w:pPr>
        <w:pStyle w:val="36"/>
        <w:ind w:firstLine="835" w:firstLineChars="261"/>
        <w:jc w:val="both"/>
        <w:outlineLvl w:val="2"/>
        <w:rPr>
          <w:rFonts w:hint="eastAsia" w:ascii="黑体" w:hAnsi="黑体" w:eastAsia="黑体" w:cs="黑体"/>
          <w:b w:val="0"/>
          <w:bCs w:val="0"/>
          <w:snapToGrid w:val="0"/>
          <w:color w:val="auto"/>
          <w:lang w:bidi="ar"/>
        </w:rPr>
      </w:pPr>
      <w:bookmarkStart w:id="57" w:name="_Toc77261209"/>
      <w:r>
        <w:rPr>
          <w:rFonts w:hint="eastAsia" w:ascii="黑体" w:hAnsi="黑体" w:eastAsia="黑体" w:cs="黑体"/>
          <w:b w:val="0"/>
          <w:bCs w:val="0"/>
          <w:snapToGrid w:val="0"/>
          <w:color w:val="auto"/>
          <w:lang w:eastAsia="zh-CN" w:bidi="ar"/>
        </w:rPr>
        <w:t>一、</w:t>
      </w:r>
      <w:r>
        <w:rPr>
          <w:rFonts w:hint="eastAsia" w:ascii="黑体" w:hAnsi="黑体" w:eastAsia="黑体" w:cs="黑体"/>
          <w:b w:val="0"/>
          <w:bCs w:val="0"/>
          <w:snapToGrid w:val="0"/>
          <w:color w:val="auto"/>
          <w:lang w:bidi="ar"/>
        </w:rPr>
        <w:t>推动计量创新改革</w:t>
      </w:r>
      <w:bookmarkEnd w:id="57"/>
    </w:p>
    <w:p>
      <w:pPr>
        <w:pStyle w:val="36"/>
        <w:ind w:firstLine="640"/>
        <w:jc w:val="both"/>
        <w:rPr>
          <w:rFonts w:hint="eastAsia" w:ascii="仿宋_GB2312" w:hAnsi="仿宋_GB2312" w:eastAsia="仿宋_GB2312" w:cs="仿宋_GB2312"/>
          <w:color w:val="auto"/>
          <w:lang w:bidi="ar"/>
        </w:rPr>
      </w:pPr>
      <w:r>
        <w:rPr>
          <w:rFonts w:hint="eastAsia" w:ascii="仿宋_GB2312" w:hAnsi="仿宋_GB2312" w:eastAsia="仿宋_GB2312" w:cs="仿宋_GB2312"/>
          <w:color w:val="auto"/>
          <w:lang w:val="en-US" w:eastAsia="zh-CN" w:bidi="ar"/>
        </w:rPr>
        <w:t xml:space="preserve"> </w:t>
      </w:r>
      <w:r>
        <w:rPr>
          <w:rFonts w:hint="eastAsia" w:ascii="仿宋_GB2312" w:hAnsi="仿宋_GB2312" w:eastAsia="仿宋_GB2312" w:cs="仿宋_GB2312"/>
          <w:color w:val="auto"/>
          <w:lang w:bidi="ar"/>
        </w:rPr>
        <w:t>深入推进计量技术改革。探索计量校准市场和校准机构建设的有效途径，鼓励企业加强量传溯源标准建设，完善计量检测体系，推进民生计量建设，以民用“三表”、医用“三源”、出租车和加油机计价器、眼镜制配等为重点，深化计量监管，筑牢市场公平公正的基准线。积极应对量子变革，加强全市社会公用计量标准建设。争取省级产业计量测试分中心和能源计量测试分中心落户乐山，提升计量服务和支撑现代产业与绿色发展的能力。</w:t>
      </w:r>
    </w:p>
    <w:p>
      <w:pPr>
        <w:pStyle w:val="36"/>
        <w:ind w:firstLine="640"/>
        <w:jc w:val="both"/>
        <w:rPr>
          <w:rFonts w:hint="eastAsia" w:ascii="仿宋_GB2312" w:hAnsi="仿宋_GB2312" w:eastAsia="仿宋_GB2312" w:cs="仿宋_GB2312"/>
          <w:snapToGrid w:val="0"/>
          <w:color w:val="auto"/>
          <w:lang w:bidi="ar"/>
        </w:rPr>
      </w:pPr>
      <w:r>
        <w:rPr>
          <w:rFonts w:hint="eastAsia" w:ascii="仿宋_GB2312" w:hAnsi="仿宋_GB2312" w:eastAsia="仿宋_GB2312" w:cs="仿宋_GB2312"/>
          <w:color w:val="auto"/>
          <w:lang w:val="en-US" w:eastAsia="zh-CN" w:bidi="ar"/>
        </w:rPr>
        <w:t xml:space="preserve"> </w:t>
      </w:r>
      <w:r>
        <w:rPr>
          <w:rFonts w:hint="eastAsia" w:ascii="仿宋_GB2312" w:hAnsi="仿宋_GB2312" w:eastAsia="仿宋_GB2312" w:cs="仿宋_GB2312"/>
          <w:color w:val="auto"/>
          <w:lang w:bidi="ar"/>
        </w:rPr>
        <w:t>构建计量技术支撑体系。</w:t>
      </w:r>
      <w:r>
        <w:rPr>
          <w:rFonts w:hint="eastAsia" w:ascii="仿宋_GB2312" w:hAnsi="仿宋_GB2312" w:eastAsia="仿宋_GB2312" w:cs="仿宋_GB2312"/>
          <w:snapToGrid w:val="0"/>
          <w:color w:val="auto"/>
          <w:lang w:bidi="ar"/>
        </w:rPr>
        <w:t>完善量值传递溯源体系，围绕全市科技创新、产业升级需求，发挥计量技术机构的资源优势，在茶叶、多晶硅、新材料等产业以及能源、生态资源、工程建设、环境监测、食品安全、医疗安全等领域建立一批急需的计量标准，填补空白，大幅提高全市最高计量标准装置量传和溯源覆盖面。十四五期间，新建计量标准15项，到2025年底，建立社会计量标准达142项。增强校准检测能力</w:t>
      </w:r>
      <w:r>
        <w:rPr>
          <w:rFonts w:hint="eastAsia" w:ascii="仿宋_GB2312" w:hAnsi="仿宋_GB2312" w:eastAsia="仿宋_GB2312" w:cs="仿宋_GB2312"/>
          <w:snapToGrid w:val="0"/>
          <w:color w:val="auto"/>
          <w:lang w:eastAsia="zh-CN" w:bidi="ar"/>
        </w:rPr>
        <w:t>，</w:t>
      </w:r>
      <w:r>
        <w:rPr>
          <w:rFonts w:hint="eastAsia" w:ascii="仿宋_GB2312" w:hAnsi="仿宋_GB2312" w:eastAsia="仿宋_GB2312" w:cs="仿宋_GB2312"/>
          <w:snapToGrid w:val="0"/>
          <w:color w:val="auto"/>
          <w:lang w:bidi="ar"/>
        </w:rPr>
        <w:t>获得CNAS推荐认可的校准项目达80项，并围绕企业计量服务重点建立校准检测标准和拓展校准检测业务。积极推动计量远传校准、在线自动化检测等先进技术的应用，加强计量创新能力建设，推进科研项目、规程规范参与编制发布等工作5项基础技术研究。</w:t>
      </w:r>
      <w:r>
        <w:rPr>
          <w:rFonts w:hint="eastAsia" w:ascii="仿宋_GB2312" w:hAnsi="仿宋_GB2312" w:eastAsia="仿宋_GB2312" w:cs="仿宋_GB2312"/>
          <w:snapToGrid w:val="0"/>
          <w:color w:val="auto"/>
          <w:lang w:val="en-US" w:eastAsia="zh-CN" w:bidi="ar"/>
        </w:rPr>
        <w:t>充分利用互联网技术，加快推进计量检测一体化平台建设，建立计量器具动态化数据库，为计量监管提供数据支撑。</w:t>
      </w:r>
      <w:r>
        <w:rPr>
          <w:rFonts w:hint="eastAsia" w:ascii="仿宋_GB2312" w:hAnsi="仿宋_GB2312" w:eastAsia="仿宋_GB2312" w:cs="仿宋_GB2312"/>
          <w:snapToGrid w:val="0"/>
          <w:color w:val="auto"/>
          <w:lang w:bidi="ar"/>
        </w:rPr>
        <w:t>加强技术机构之间的合作，在油气回收检测、充电桩安装环境安全评价检测等能效检测方面</w:t>
      </w:r>
      <w:r>
        <w:rPr>
          <w:rFonts w:hint="eastAsia" w:ascii="仿宋_GB2312" w:hAnsi="仿宋_GB2312" w:eastAsia="仿宋_GB2312" w:cs="仿宋_GB2312"/>
          <w:snapToGrid w:val="0"/>
          <w:color w:val="auto"/>
          <w:lang w:eastAsia="zh-CN" w:bidi="ar"/>
        </w:rPr>
        <w:t>取得</w:t>
      </w:r>
      <w:r>
        <w:rPr>
          <w:rFonts w:hint="eastAsia" w:ascii="仿宋_GB2312" w:hAnsi="仿宋_GB2312" w:eastAsia="仿宋_GB2312" w:cs="仿宋_GB2312"/>
          <w:snapToGrid w:val="0"/>
          <w:color w:val="auto"/>
          <w:lang w:bidi="ar"/>
        </w:rPr>
        <w:t>突破。</w:t>
      </w:r>
    </w:p>
    <w:p>
      <w:pPr>
        <w:pStyle w:val="36"/>
        <w:jc w:val="both"/>
        <w:outlineLvl w:val="2"/>
        <w:rPr>
          <w:rFonts w:hint="eastAsia" w:ascii="黑体" w:hAnsi="黑体" w:eastAsia="黑体" w:cs="黑体"/>
          <w:b w:val="0"/>
          <w:bCs w:val="0"/>
          <w:snapToGrid w:val="0"/>
          <w:color w:val="auto"/>
          <w:lang w:bidi="ar"/>
        </w:rPr>
      </w:pPr>
      <w:bookmarkStart w:id="58" w:name="_Toc77261210"/>
      <w:r>
        <w:rPr>
          <w:rFonts w:hint="eastAsia" w:ascii="黑体" w:hAnsi="黑体" w:eastAsia="黑体" w:cs="黑体"/>
          <w:b w:val="0"/>
          <w:bCs w:val="0"/>
          <w:snapToGrid w:val="0"/>
          <w:color w:val="auto"/>
          <w:lang w:eastAsia="zh-CN" w:bidi="ar"/>
        </w:rPr>
        <w:t>二、</w:t>
      </w:r>
      <w:r>
        <w:rPr>
          <w:rFonts w:hint="eastAsia" w:ascii="黑体" w:hAnsi="黑体" w:eastAsia="黑体" w:cs="黑体"/>
          <w:b w:val="0"/>
          <w:bCs w:val="0"/>
          <w:snapToGrid w:val="0"/>
          <w:color w:val="auto"/>
          <w:lang w:bidi="ar"/>
        </w:rPr>
        <w:t>提升质检水平能力</w:t>
      </w:r>
      <w:bookmarkEnd w:id="58"/>
    </w:p>
    <w:p>
      <w:pPr>
        <w:pStyle w:val="36"/>
        <w:ind w:firstLine="640"/>
        <w:jc w:val="both"/>
        <w:rPr>
          <w:rFonts w:ascii="仿宋_GB2312"/>
          <w:snapToGrid w:val="0"/>
          <w:color w:val="auto"/>
          <w:lang w:bidi="ar"/>
        </w:rPr>
      </w:pPr>
      <w:r>
        <w:rPr>
          <w:rFonts w:hint="eastAsia" w:ascii="仿宋_GB2312" w:eastAsia="仿宋_GB2312"/>
          <w:snapToGrid w:val="0"/>
          <w:color w:val="auto"/>
          <w:lang w:bidi="ar"/>
        </w:rPr>
        <w:t>更新改造检测设备、扩充检验检测项目参数，强化技术支撑，制定信息化硬件更新换代计划，落实硬件升级工作。拓展“乐山市公共检测服务平台”功能和应用场景，充分发挥平台的专家、设备共享的作用，综合利用检测资源，</w:t>
      </w:r>
      <w:r>
        <w:rPr>
          <w:rFonts w:hint="eastAsia" w:ascii="仿宋_GB2312" w:eastAsia="仿宋_GB2312"/>
          <w:snapToGrid w:val="0"/>
          <w:color w:val="auto"/>
          <w:lang w:eastAsia="zh-CN" w:bidi="ar"/>
        </w:rPr>
        <w:t>建成质量基础设施</w:t>
      </w:r>
      <w:r>
        <w:rPr>
          <w:rFonts w:hint="eastAsia" w:ascii="仿宋_GB2312" w:eastAsia="仿宋_GB2312"/>
          <w:snapToGrid w:val="0"/>
          <w:color w:val="auto"/>
          <w:lang w:bidi="ar"/>
        </w:rPr>
        <w:t>“一站式”服务平台试点项目，</w:t>
      </w:r>
      <w:r>
        <w:rPr>
          <w:rFonts w:hint="eastAsia" w:ascii="仿宋_GB2312" w:eastAsia="仿宋_GB2312"/>
          <w:snapToGrid w:val="0"/>
          <w:color w:val="auto"/>
          <w:lang w:eastAsia="zh-CN" w:bidi="ar"/>
        </w:rPr>
        <w:t>降低企业成本，</w:t>
      </w:r>
      <w:r>
        <w:rPr>
          <w:rFonts w:hint="eastAsia" w:ascii="仿宋_GB2312" w:eastAsia="仿宋_GB2312"/>
          <w:snapToGrid w:val="0"/>
          <w:color w:val="auto"/>
          <w:lang w:bidi="ar"/>
        </w:rPr>
        <w:t>不断提升在检验检测、标准化、品牌建设和知识产权方面</w:t>
      </w:r>
      <w:r>
        <w:rPr>
          <w:rFonts w:hint="eastAsia" w:ascii="仿宋_GB2312" w:eastAsia="仿宋_GB2312"/>
          <w:snapToGrid w:val="0"/>
          <w:color w:val="auto"/>
          <w:lang w:eastAsia="zh-CN" w:bidi="ar"/>
        </w:rPr>
        <w:t>的</w:t>
      </w:r>
      <w:r>
        <w:rPr>
          <w:rFonts w:hint="eastAsia" w:ascii="仿宋_GB2312" w:eastAsia="仿宋_GB2312"/>
          <w:snapToGrid w:val="0"/>
          <w:color w:val="auto"/>
          <w:lang w:bidi="ar"/>
        </w:rPr>
        <w:t>服务能力。完成国家建筑陶瓷产品质检中心（四川）的建设。高质量运行国家级质检中心（国家陶检中心）和省硅产品质检中心</w:t>
      </w:r>
      <w:r>
        <w:rPr>
          <w:rFonts w:hint="eastAsia" w:ascii="仿宋_GB2312" w:eastAsia="仿宋_GB2312"/>
          <w:snapToGrid w:val="0"/>
          <w:color w:val="auto"/>
          <w:lang w:eastAsia="zh-CN" w:bidi="ar"/>
        </w:rPr>
        <w:t>、</w:t>
      </w:r>
      <w:r>
        <w:rPr>
          <w:rFonts w:hint="eastAsia" w:ascii="仿宋_GB2312" w:eastAsia="仿宋_GB2312"/>
          <w:snapToGrid w:val="0"/>
          <w:color w:val="auto"/>
          <w:lang w:bidi="ar"/>
        </w:rPr>
        <w:t>省盐磷化工产品质检中心、省茶叶产品质检中心、省造纸产品质检中心、省陶瓷产品质检中心、省小型农用机电产品质检中心</w:t>
      </w:r>
      <w:r>
        <w:rPr>
          <w:rFonts w:hint="eastAsia" w:ascii="仿宋_GB2312" w:eastAsia="仿宋_GB2312"/>
          <w:snapToGrid w:val="0"/>
          <w:color w:val="auto"/>
          <w:lang w:eastAsia="zh-CN" w:bidi="ar"/>
        </w:rPr>
        <w:t>等</w:t>
      </w:r>
      <w:r>
        <w:rPr>
          <w:rFonts w:hint="eastAsia" w:ascii="仿宋_GB2312" w:eastAsia="仿宋_GB2312"/>
          <w:snapToGrid w:val="0"/>
          <w:color w:val="auto"/>
          <w:lang w:val="en-US" w:eastAsia="zh-CN" w:bidi="ar"/>
        </w:rPr>
        <w:t>6个</w:t>
      </w:r>
      <w:r>
        <w:rPr>
          <w:rFonts w:hint="eastAsia" w:ascii="仿宋_GB2312" w:eastAsia="仿宋_GB2312"/>
          <w:snapToGrid w:val="0"/>
          <w:color w:val="auto"/>
          <w:lang w:bidi="ar"/>
        </w:rPr>
        <w:t>省级质检中心，支撑并服务于乐山市重点优势产业的发展。协助运营好入驻国检中心的“西部硅材料光伏新能源产业技术研究院”，充分利用国家半导体设备与材料标准化技术委员会和国际半导体设备与材料标准化协会（SEMI）会员身份，积极参与多晶硅产品国家标准和国际标准的制修订工作，争取制定标准的话语权</w:t>
      </w:r>
      <w:r>
        <w:rPr>
          <w:rFonts w:hint="eastAsia" w:ascii="仿宋_GB2312" w:eastAsia="仿宋_GB2312"/>
          <w:snapToGrid w:val="0"/>
          <w:color w:val="auto"/>
          <w:lang w:eastAsia="zh-CN" w:bidi="ar"/>
        </w:rPr>
        <w:t>，全力</w:t>
      </w:r>
      <w:r>
        <w:rPr>
          <w:rFonts w:hint="eastAsia" w:ascii="仿宋_GB2312" w:eastAsia="仿宋_GB2312"/>
          <w:snapToGrid w:val="0"/>
          <w:color w:val="auto"/>
          <w:lang w:bidi="ar"/>
        </w:rPr>
        <w:t>服务</w:t>
      </w:r>
      <w:r>
        <w:rPr>
          <w:rFonts w:hint="eastAsia" w:ascii="仿宋_GB2312" w:eastAsia="仿宋_GB2312"/>
          <w:snapToGrid w:val="0"/>
          <w:color w:val="auto"/>
          <w:lang w:eastAsia="zh-CN" w:bidi="ar"/>
        </w:rPr>
        <w:t>“中国</w:t>
      </w:r>
      <w:r>
        <w:rPr>
          <w:rFonts w:hint="eastAsia" w:ascii="仿宋_GB2312" w:eastAsia="仿宋_GB2312"/>
          <w:snapToGrid w:val="0"/>
          <w:color w:val="auto"/>
          <w:lang w:bidi="ar"/>
        </w:rPr>
        <w:t>绿色硅谷</w:t>
      </w:r>
      <w:r>
        <w:rPr>
          <w:rFonts w:hint="eastAsia" w:ascii="仿宋_GB2312" w:eastAsia="仿宋_GB2312"/>
          <w:snapToGrid w:val="0"/>
          <w:color w:val="auto"/>
          <w:lang w:eastAsia="zh-CN" w:bidi="ar"/>
        </w:rPr>
        <w:t>”建设</w:t>
      </w:r>
      <w:r>
        <w:rPr>
          <w:rFonts w:hint="eastAsia" w:ascii="仿宋_GB2312" w:eastAsia="仿宋_GB2312"/>
          <w:snapToGrid w:val="0"/>
          <w:color w:val="auto"/>
          <w:lang w:bidi="ar"/>
        </w:rPr>
        <w:t>。</w:t>
      </w:r>
    </w:p>
    <w:p>
      <w:pPr>
        <w:pStyle w:val="36"/>
        <w:jc w:val="both"/>
        <w:outlineLvl w:val="2"/>
        <w:rPr>
          <w:rFonts w:hint="eastAsia" w:ascii="黑体" w:hAnsi="黑体" w:eastAsia="黑体" w:cs="黑体"/>
          <w:b w:val="0"/>
          <w:bCs w:val="0"/>
          <w:snapToGrid w:val="0"/>
          <w:color w:val="auto"/>
          <w:lang w:bidi="ar"/>
        </w:rPr>
      </w:pPr>
      <w:r>
        <w:rPr>
          <w:rFonts w:hint="eastAsia" w:ascii="黑体" w:hAnsi="黑体" w:eastAsia="黑体" w:cs="黑体"/>
          <w:b w:val="0"/>
          <w:bCs w:val="0"/>
          <w:snapToGrid w:val="0"/>
          <w:color w:val="auto"/>
          <w:lang w:eastAsia="zh-CN" w:bidi="ar"/>
        </w:rPr>
        <w:t>三、</w:t>
      </w:r>
      <w:r>
        <w:rPr>
          <w:rFonts w:hint="eastAsia" w:ascii="黑体" w:hAnsi="黑体" w:eastAsia="黑体" w:cs="黑体"/>
          <w:b w:val="0"/>
          <w:bCs w:val="0"/>
          <w:snapToGrid w:val="0"/>
          <w:color w:val="auto"/>
          <w:lang w:val="en-US" w:eastAsia="zh-CN" w:bidi="ar"/>
        </w:rPr>
        <w:t>提升</w:t>
      </w:r>
      <w:r>
        <w:rPr>
          <w:rFonts w:hint="eastAsia" w:ascii="黑体" w:hAnsi="黑体" w:eastAsia="黑体" w:cs="黑体"/>
          <w:b w:val="0"/>
          <w:bCs w:val="0"/>
          <w:snapToGrid w:val="0"/>
          <w:color w:val="auto"/>
          <w:lang w:eastAsia="zh-CN" w:bidi="ar"/>
        </w:rPr>
        <w:t>食品</w:t>
      </w:r>
      <w:r>
        <w:rPr>
          <w:rFonts w:hint="eastAsia" w:ascii="黑体" w:hAnsi="黑体" w:eastAsia="黑体" w:cs="黑体"/>
          <w:b w:val="0"/>
          <w:bCs w:val="0"/>
          <w:snapToGrid w:val="0"/>
          <w:color w:val="auto"/>
          <w:lang w:bidi="ar"/>
        </w:rPr>
        <w:t>药</w:t>
      </w:r>
      <w:r>
        <w:rPr>
          <w:rFonts w:hint="eastAsia" w:ascii="黑体" w:hAnsi="黑体" w:eastAsia="黑体" w:cs="黑体"/>
          <w:b w:val="0"/>
          <w:bCs w:val="0"/>
          <w:snapToGrid w:val="0"/>
          <w:color w:val="auto"/>
          <w:lang w:eastAsia="zh-CN" w:bidi="ar"/>
        </w:rPr>
        <w:t>品</w:t>
      </w:r>
      <w:r>
        <w:rPr>
          <w:rFonts w:hint="eastAsia" w:ascii="黑体" w:hAnsi="黑体" w:eastAsia="黑体" w:cs="黑体"/>
          <w:b w:val="0"/>
          <w:bCs w:val="0"/>
          <w:snapToGrid w:val="0"/>
          <w:color w:val="auto"/>
          <w:lang w:bidi="ar"/>
        </w:rPr>
        <w:t>检</w:t>
      </w:r>
      <w:r>
        <w:rPr>
          <w:rFonts w:hint="eastAsia" w:ascii="黑体" w:hAnsi="黑体" w:eastAsia="黑体" w:cs="黑体"/>
          <w:b w:val="0"/>
          <w:bCs w:val="0"/>
          <w:snapToGrid w:val="0"/>
          <w:color w:val="auto"/>
          <w:lang w:eastAsia="zh-CN" w:bidi="ar"/>
        </w:rPr>
        <w:t>验检</w:t>
      </w:r>
      <w:r>
        <w:rPr>
          <w:rFonts w:hint="eastAsia" w:ascii="黑体" w:hAnsi="黑体" w:eastAsia="黑体" w:cs="黑体"/>
          <w:b w:val="0"/>
          <w:bCs w:val="0"/>
          <w:snapToGrid w:val="0"/>
          <w:color w:val="auto"/>
          <w:lang w:bidi="ar"/>
        </w:rPr>
        <w:t>测</w:t>
      </w:r>
      <w:r>
        <w:rPr>
          <w:rFonts w:hint="eastAsia" w:ascii="黑体" w:hAnsi="黑体" w:eastAsia="黑体" w:cs="黑体"/>
          <w:b w:val="0"/>
          <w:bCs w:val="0"/>
          <w:snapToGrid w:val="0"/>
          <w:color w:val="auto"/>
          <w:lang w:eastAsia="zh-CN" w:bidi="ar"/>
        </w:rPr>
        <w:t>能力</w:t>
      </w:r>
    </w:p>
    <w:p>
      <w:pPr>
        <w:ind w:firstLine="640" w:firstLineChars="200"/>
        <w:rPr>
          <w:rFonts w:ascii="仿宋_GB2312" w:hAnsi="仿宋" w:eastAsia="仿宋_GB2312" w:cs="宋体"/>
          <w:snapToGrid w:val="0"/>
          <w:color w:val="auto"/>
          <w:kern w:val="0"/>
          <w:sz w:val="32"/>
          <w:szCs w:val="32"/>
          <w:lang w:bidi="ar"/>
        </w:rPr>
      </w:pPr>
      <w:r>
        <w:rPr>
          <w:rFonts w:hint="eastAsia" w:ascii="仿宋_GB2312" w:hAnsi="仿宋" w:eastAsia="仿宋_GB2312" w:cs="宋体"/>
          <w:snapToGrid w:val="0"/>
          <w:color w:val="auto"/>
          <w:kern w:val="0"/>
          <w:sz w:val="32"/>
          <w:szCs w:val="32"/>
          <w:lang w:bidi="ar"/>
        </w:rPr>
        <w:t>开展中药材（饮片）农药残留、重金属等有害物质的研究与控制。积极参与地方习用中药材、中药饮片炮制规范的制修订工作和川产道地药材产业链管理规范及质量标准提升示范工程。全面建设省药监局中药质量研究重点实验室，</w:t>
      </w:r>
      <w:r>
        <w:rPr>
          <w:rFonts w:hint="eastAsia" w:ascii="仿宋_GB2312" w:hAnsi="仿宋" w:eastAsia="仿宋_GB2312" w:cs="宋体"/>
          <w:snapToGrid w:val="0"/>
          <w:color w:val="auto"/>
          <w:kern w:val="0"/>
          <w:sz w:val="32"/>
          <w:szCs w:val="32"/>
          <w:lang w:eastAsia="zh-CN" w:bidi="ar"/>
        </w:rPr>
        <w:t>创新重点实验室建设管理机制，</w:t>
      </w:r>
      <w:r>
        <w:rPr>
          <w:rFonts w:hint="eastAsia" w:ascii="仿宋_GB2312" w:hAnsi="仿宋" w:eastAsia="仿宋_GB2312" w:cs="宋体"/>
          <w:snapToGrid w:val="0"/>
          <w:color w:val="auto"/>
          <w:kern w:val="0"/>
          <w:sz w:val="32"/>
          <w:szCs w:val="32"/>
          <w:lang w:bidi="ar"/>
        </w:rPr>
        <w:t>完成</w:t>
      </w:r>
      <w:r>
        <w:rPr>
          <w:rFonts w:ascii="仿宋_GB2312" w:hAnsi="仿宋" w:eastAsia="仿宋_GB2312" w:cs="宋体"/>
          <w:snapToGrid w:val="0"/>
          <w:color w:val="auto"/>
          <w:kern w:val="0"/>
          <w:sz w:val="32"/>
          <w:szCs w:val="32"/>
          <w:lang w:bidi="ar"/>
        </w:rPr>
        <w:t>仪器设备</w:t>
      </w:r>
      <w:r>
        <w:rPr>
          <w:rFonts w:hint="eastAsia" w:ascii="仿宋_GB2312" w:hAnsi="仿宋" w:eastAsia="仿宋_GB2312" w:cs="宋体"/>
          <w:snapToGrid w:val="0"/>
          <w:color w:val="auto"/>
          <w:kern w:val="0"/>
          <w:sz w:val="32"/>
          <w:szCs w:val="32"/>
          <w:lang w:bidi="ar"/>
        </w:rPr>
        <w:t>更新升级，</w:t>
      </w:r>
      <w:r>
        <w:rPr>
          <w:rFonts w:ascii="仿宋_GB2312" w:hAnsi="仿宋" w:eastAsia="仿宋_GB2312" w:cs="宋体"/>
          <w:snapToGrid w:val="0"/>
          <w:color w:val="auto"/>
          <w:kern w:val="0"/>
          <w:sz w:val="32"/>
          <w:szCs w:val="32"/>
          <w:lang w:bidi="ar"/>
        </w:rPr>
        <w:t>进一步提升硬件水平</w:t>
      </w:r>
      <w:r>
        <w:rPr>
          <w:rFonts w:hint="eastAsia" w:ascii="仿宋_GB2312" w:hAnsi="仿宋" w:eastAsia="仿宋_GB2312" w:cs="宋体"/>
          <w:snapToGrid w:val="0"/>
          <w:color w:val="auto"/>
          <w:kern w:val="0"/>
          <w:sz w:val="32"/>
          <w:szCs w:val="32"/>
          <w:lang w:bidi="ar"/>
        </w:rPr>
        <w:t>。</w:t>
      </w:r>
      <w:r>
        <w:rPr>
          <w:rFonts w:ascii="仿宋_GB2312" w:hAnsi="仿宋" w:eastAsia="仿宋_GB2312" w:cs="宋体"/>
          <w:snapToGrid w:val="0"/>
          <w:color w:val="auto"/>
          <w:kern w:val="0"/>
          <w:sz w:val="32"/>
          <w:szCs w:val="32"/>
          <w:lang w:bidi="ar"/>
        </w:rPr>
        <w:t>持续优化检验队伍</w:t>
      </w:r>
      <w:r>
        <w:rPr>
          <w:rFonts w:hint="eastAsia" w:ascii="仿宋_GB2312" w:hAnsi="仿宋" w:eastAsia="仿宋_GB2312" w:cs="宋体"/>
          <w:snapToGrid w:val="0"/>
          <w:color w:val="auto"/>
          <w:kern w:val="0"/>
          <w:sz w:val="32"/>
          <w:szCs w:val="32"/>
          <w:lang w:bidi="ar"/>
        </w:rPr>
        <w:t>，</w:t>
      </w:r>
      <w:r>
        <w:rPr>
          <w:rFonts w:ascii="仿宋_GB2312" w:hAnsi="仿宋" w:eastAsia="仿宋_GB2312" w:cs="宋体"/>
          <w:snapToGrid w:val="0"/>
          <w:color w:val="auto"/>
          <w:kern w:val="0"/>
          <w:sz w:val="32"/>
          <w:szCs w:val="32"/>
          <w:lang w:bidi="ar"/>
        </w:rPr>
        <w:t>扩大</w:t>
      </w:r>
      <w:r>
        <w:rPr>
          <w:rFonts w:hint="eastAsia" w:ascii="仿宋_GB2312" w:hAnsi="仿宋" w:eastAsia="仿宋_GB2312" w:cs="宋体"/>
          <w:snapToGrid w:val="0"/>
          <w:color w:val="auto"/>
          <w:kern w:val="0"/>
          <w:sz w:val="32"/>
          <w:szCs w:val="32"/>
          <w:lang w:eastAsia="zh-CN" w:bidi="ar"/>
        </w:rPr>
        <w:t>食品药品</w:t>
      </w:r>
      <w:r>
        <w:rPr>
          <w:rFonts w:ascii="仿宋_GB2312" w:hAnsi="仿宋" w:eastAsia="仿宋_GB2312" w:cs="宋体"/>
          <w:snapToGrid w:val="0"/>
          <w:color w:val="auto"/>
          <w:kern w:val="0"/>
          <w:sz w:val="32"/>
          <w:szCs w:val="32"/>
          <w:lang w:bidi="ar"/>
        </w:rPr>
        <w:t>检验范围</w:t>
      </w:r>
      <w:r>
        <w:rPr>
          <w:rFonts w:hint="eastAsia" w:ascii="仿宋_GB2312" w:hAnsi="仿宋" w:eastAsia="仿宋_GB2312" w:cs="宋体"/>
          <w:snapToGrid w:val="0"/>
          <w:color w:val="auto"/>
          <w:kern w:val="0"/>
          <w:sz w:val="32"/>
          <w:szCs w:val="32"/>
          <w:lang w:bidi="ar"/>
        </w:rPr>
        <w:t>，</w:t>
      </w:r>
      <w:r>
        <w:rPr>
          <w:rFonts w:hint="eastAsia" w:ascii="仿宋_GB2312" w:hAnsi="仿宋" w:eastAsia="仿宋_GB2312" w:cs="宋体"/>
          <w:snapToGrid w:val="0"/>
          <w:color w:val="auto"/>
          <w:kern w:val="0"/>
          <w:sz w:val="32"/>
          <w:szCs w:val="32"/>
          <w:lang w:eastAsia="zh-CN" w:bidi="ar"/>
        </w:rPr>
        <w:t>通过资质认定的</w:t>
      </w:r>
      <w:r>
        <w:rPr>
          <w:rFonts w:ascii="仿宋_GB2312" w:hAnsi="仿宋" w:eastAsia="仿宋_GB2312" w:cs="宋体"/>
          <w:snapToGrid w:val="0"/>
          <w:color w:val="auto"/>
          <w:kern w:val="0"/>
          <w:sz w:val="32"/>
          <w:szCs w:val="32"/>
          <w:lang w:bidi="ar"/>
        </w:rPr>
        <w:t>参数</w:t>
      </w:r>
      <w:r>
        <w:rPr>
          <w:rFonts w:hint="eastAsia" w:ascii="仿宋_GB2312" w:hAnsi="仿宋" w:eastAsia="仿宋_GB2312" w:cs="宋体"/>
          <w:snapToGrid w:val="0"/>
          <w:color w:val="auto"/>
          <w:kern w:val="0"/>
          <w:sz w:val="32"/>
          <w:szCs w:val="32"/>
          <w:lang w:eastAsia="zh-CN" w:bidi="ar"/>
        </w:rPr>
        <w:t>达</w:t>
      </w:r>
      <w:r>
        <w:rPr>
          <w:rFonts w:hint="eastAsia" w:ascii="仿宋_GB2312" w:hAnsi="仿宋" w:eastAsia="仿宋_GB2312" w:cs="宋体"/>
          <w:snapToGrid w:val="0"/>
          <w:color w:val="auto"/>
          <w:kern w:val="0"/>
          <w:sz w:val="32"/>
          <w:szCs w:val="32"/>
          <w:lang w:val="en-US" w:eastAsia="zh-CN" w:bidi="ar"/>
        </w:rPr>
        <w:t>1000</w:t>
      </w:r>
      <w:r>
        <w:rPr>
          <w:rFonts w:ascii="仿宋_GB2312" w:hAnsi="仿宋" w:eastAsia="仿宋_GB2312" w:cs="宋体"/>
          <w:snapToGrid w:val="0"/>
          <w:color w:val="auto"/>
          <w:kern w:val="0"/>
          <w:sz w:val="32"/>
          <w:szCs w:val="32"/>
          <w:lang w:bidi="ar"/>
        </w:rPr>
        <w:t>个</w:t>
      </w:r>
      <w:r>
        <w:rPr>
          <w:rFonts w:hint="eastAsia" w:ascii="仿宋_GB2312" w:hAnsi="仿宋" w:eastAsia="仿宋_GB2312" w:cs="宋体"/>
          <w:snapToGrid w:val="0"/>
          <w:color w:val="auto"/>
          <w:kern w:val="0"/>
          <w:sz w:val="32"/>
          <w:szCs w:val="32"/>
          <w:lang w:eastAsia="zh-CN" w:bidi="ar"/>
        </w:rPr>
        <w:t>以上。</w:t>
      </w:r>
      <w:r>
        <w:rPr>
          <w:rFonts w:ascii="仿宋_GB2312" w:hAnsi="仿宋" w:eastAsia="仿宋_GB2312" w:cs="宋体"/>
          <w:snapToGrid w:val="0"/>
          <w:color w:val="auto"/>
          <w:kern w:val="0"/>
          <w:sz w:val="32"/>
          <w:szCs w:val="32"/>
          <w:lang w:bidi="ar"/>
        </w:rPr>
        <w:t>强化科研工作，持续扩大开放和合作交流</w:t>
      </w:r>
      <w:r>
        <w:rPr>
          <w:rFonts w:hint="eastAsia" w:ascii="仿宋_GB2312" w:hAnsi="仿宋" w:eastAsia="仿宋_GB2312" w:cs="宋体"/>
          <w:snapToGrid w:val="0"/>
          <w:color w:val="auto"/>
          <w:kern w:val="0"/>
          <w:sz w:val="32"/>
          <w:szCs w:val="32"/>
          <w:lang w:bidi="ar"/>
        </w:rPr>
        <w:t>，不断</w:t>
      </w:r>
      <w:r>
        <w:rPr>
          <w:rFonts w:ascii="仿宋_GB2312" w:hAnsi="仿宋" w:eastAsia="仿宋_GB2312" w:cs="宋体"/>
          <w:snapToGrid w:val="0"/>
          <w:color w:val="auto"/>
          <w:kern w:val="0"/>
          <w:sz w:val="32"/>
          <w:szCs w:val="32"/>
          <w:lang w:bidi="ar"/>
        </w:rPr>
        <w:t>提升科研创新能力</w:t>
      </w:r>
      <w:r>
        <w:rPr>
          <w:rFonts w:hint="eastAsia" w:ascii="仿宋_GB2312" w:hAnsi="仿宋" w:eastAsia="仿宋_GB2312" w:cs="宋体"/>
          <w:snapToGrid w:val="0"/>
          <w:color w:val="auto"/>
          <w:kern w:val="0"/>
          <w:sz w:val="32"/>
          <w:szCs w:val="32"/>
          <w:lang w:bidi="ar"/>
        </w:rPr>
        <w:t>，</w:t>
      </w:r>
      <w:r>
        <w:rPr>
          <w:rFonts w:ascii="仿宋_GB2312" w:hAnsi="仿宋" w:eastAsia="仿宋_GB2312" w:cs="宋体"/>
          <w:snapToGrid w:val="0"/>
          <w:color w:val="auto"/>
          <w:kern w:val="0"/>
          <w:sz w:val="32"/>
          <w:szCs w:val="32"/>
          <w:lang w:bidi="ar"/>
        </w:rPr>
        <w:t>把</w:t>
      </w:r>
      <w:r>
        <w:rPr>
          <w:rFonts w:hint="eastAsia" w:ascii="仿宋_GB2312" w:hAnsi="仿宋" w:eastAsia="仿宋_GB2312" w:cs="宋体"/>
          <w:snapToGrid w:val="0"/>
          <w:color w:val="auto"/>
          <w:kern w:val="0"/>
          <w:sz w:val="32"/>
          <w:szCs w:val="32"/>
          <w:lang w:eastAsia="zh-CN" w:bidi="ar"/>
        </w:rPr>
        <w:t>食品药品检验检测中心</w:t>
      </w:r>
      <w:r>
        <w:rPr>
          <w:rFonts w:ascii="仿宋_GB2312" w:hAnsi="仿宋" w:eastAsia="仿宋_GB2312" w:cs="宋体"/>
          <w:snapToGrid w:val="0"/>
          <w:color w:val="auto"/>
          <w:kern w:val="0"/>
          <w:sz w:val="32"/>
          <w:szCs w:val="32"/>
          <w:lang w:bidi="ar"/>
        </w:rPr>
        <w:t>打造成为服务监管需求</w:t>
      </w:r>
      <w:r>
        <w:rPr>
          <w:rFonts w:hint="eastAsia" w:ascii="仿宋_GB2312" w:hAnsi="仿宋" w:eastAsia="仿宋_GB2312" w:cs="宋体"/>
          <w:snapToGrid w:val="0"/>
          <w:color w:val="auto"/>
          <w:kern w:val="0"/>
          <w:sz w:val="32"/>
          <w:szCs w:val="32"/>
          <w:lang w:eastAsia="zh-CN" w:bidi="ar"/>
        </w:rPr>
        <w:t>和食品药品产业高质量发展的</w:t>
      </w:r>
      <w:r>
        <w:rPr>
          <w:rFonts w:ascii="仿宋_GB2312" w:hAnsi="仿宋" w:eastAsia="仿宋_GB2312" w:cs="宋体"/>
          <w:snapToGrid w:val="0"/>
          <w:color w:val="auto"/>
          <w:kern w:val="0"/>
          <w:sz w:val="32"/>
          <w:szCs w:val="32"/>
          <w:lang w:bidi="ar"/>
        </w:rPr>
        <w:t>专业技术龙头。</w:t>
      </w:r>
    </w:p>
    <w:tbl>
      <w:tblPr>
        <w:tblStyle w:val="2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pStyle w:val="17"/>
              <w:ind w:firstLine="560"/>
              <w:jc w:val="both"/>
              <w:rPr>
                <w:color w:val="auto"/>
                <w:sz w:val="28"/>
                <w:szCs w:val="28"/>
              </w:rPr>
            </w:pPr>
            <w:r>
              <w:rPr>
                <w:rFonts w:eastAsia="黑体"/>
                <w:color w:val="auto"/>
                <w:sz w:val="28"/>
                <w:szCs w:val="28"/>
              </w:rPr>
              <w:t>专栏1</w:t>
            </w:r>
            <w:r>
              <w:rPr>
                <w:rFonts w:hint="eastAsia" w:eastAsia="黑体"/>
                <w:color w:val="auto"/>
                <w:sz w:val="28"/>
                <w:szCs w:val="28"/>
                <w:lang w:val="en-US" w:eastAsia="zh-CN"/>
              </w:rPr>
              <w:t>1</w:t>
            </w:r>
            <w:r>
              <w:rPr>
                <w:rFonts w:eastAsia="黑体"/>
                <w:color w:val="auto"/>
                <w:sz w:val="28"/>
                <w:szCs w:val="28"/>
              </w:rPr>
              <w:t>：</w:t>
            </w:r>
            <w:r>
              <w:rPr>
                <w:rFonts w:hint="eastAsia" w:eastAsia="黑体"/>
                <w:color w:val="auto"/>
                <w:sz w:val="28"/>
                <w:szCs w:val="28"/>
              </w:rPr>
              <w:t xml:space="preserve"> 药检能力提升行动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61" w:type="dxa"/>
          </w:tcPr>
          <w:p>
            <w:pPr>
              <w:pStyle w:val="8"/>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36"/>
              </w:rPr>
              <w:t>1</w:t>
            </w:r>
            <w:r>
              <w:rPr>
                <w:rFonts w:hint="eastAsia" w:ascii="仿宋" w:hAnsi="仿宋" w:eastAsia="仿宋" w:cs="仿宋"/>
                <w:b/>
                <w:bCs/>
                <w:color w:val="auto"/>
                <w:sz w:val="28"/>
                <w:szCs w:val="28"/>
              </w:rPr>
              <w:t>.</w:t>
            </w:r>
            <w:r>
              <w:rPr>
                <w:rFonts w:hint="eastAsia"/>
                <w:color w:val="auto"/>
              </w:rPr>
              <w:t xml:space="preserve"> </w:t>
            </w:r>
            <w:r>
              <w:rPr>
                <w:rFonts w:hint="eastAsia" w:ascii="仿宋" w:hAnsi="仿宋" w:eastAsia="仿宋" w:cs="仿宋"/>
                <w:b/>
                <w:bCs/>
                <w:color w:val="auto"/>
                <w:sz w:val="28"/>
                <w:szCs w:val="28"/>
              </w:rPr>
              <w:t>省药监局重点实验室建设。</w:t>
            </w:r>
            <w:r>
              <w:rPr>
                <w:rFonts w:hint="eastAsia" w:ascii="仿宋" w:hAnsi="仿宋" w:eastAsia="仿宋" w:cs="仿宋"/>
                <w:color w:val="auto"/>
                <w:sz w:val="28"/>
                <w:szCs w:val="28"/>
              </w:rPr>
              <w:t>“十四五”末，该实验室将成为全省一流的药品检验检测实验室和创新研发服务平台</w:t>
            </w:r>
            <w:r>
              <w:rPr>
                <w:rFonts w:ascii="仿宋" w:hAnsi="仿宋" w:eastAsia="仿宋" w:cs="仿宋"/>
                <w:color w:val="auto"/>
                <w:sz w:val="28"/>
                <w:szCs w:val="28"/>
              </w:rPr>
              <w:t>，实验室面积</w:t>
            </w:r>
            <w:r>
              <w:rPr>
                <w:rFonts w:hint="eastAsia" w:ascii="仿宋" w:hAnsi="仿宋" w:eastAsia="仿宋" w:cs="仿宋"/>
                <w:color w:val="auto"/>
                <w:sz w:val="28"/>
                <w:szCs w:val="28"/>
                <w:lang w:eastAsia="zh-CN"/>
              </w:rPr>
              <w:t>达到</w:t>
            </w:r>
            <w:r>
              <w:rPr>
                <w:rFonts w:ascii="仿宋" w:hAnsi="仿宋" w:eastAsia="仿宋" w:cs="仿宋"/>
                <w:color w:val="auto"/>
                <w:sz w:val="28"/>
                <w:szCs w:val="28"/>
              </w:rPr>
              <w:t>2000平方米，通过资质认定的药品检验参数</w:t>
            </w:r>
            <w:r>
              <w:rPr>
                <w:rFonts w:hint="eastAsia" w:ascii="仿宋" w:hAnsi="仿宋" w:eastAsia="仿宋" w:cs="仿宋"/>
                <w:color w:val="auto"/>
                <w:sz w:val="28"/>
                <w:szCs w:val="28"/>
                <w:lang w:eastAsia="zh-CN"/>
              </w:rPr>
              <w:t>全覆盖</w:t>
            </w:r>
            <w:r>
              <w:rPr>
                <w:rFonts w:hint="eastAsia" w:ascii="仿宋" w:hAnsi="仿宋" w:eastAsia="仿宋" w:cs="仿宋"/>
                <w:color w:val="auto"/>
                <w:sz w:val="28"/>
                <w:szCs w:val="28"/>
                <w:lang w:val="en-US" w:eastAsia="zh-CN"/>
              </w:rPr>
              <w:t>C级检验机构要求</w:t>
            </w:r>
            <w:r>
              <w:rPr>
                <w:rFonts w:ascii="仿宋" w:hAnsi="仿宋" w:eastAsia="仿宋" w:cs="仿宋"/>
                <w:color w:val="auto"/>
                <w:sz w:val="28"/>
                <w:szCs w:val="28"/>
              </w:rPr>
              <w:t>，能顺利承接省、市下达药品检验任务，药品检验能力进一步提升</w:t>
            </w:r>
            <w:r>
              <w:rPr>
                <w:rFonts w:hint="eastAsia" w:ascii="仿宋" w:hAnsi="仿宋" w:eastAsia="仿宋" w:cs="仿宋"/>
                <w:color w:val="auto"/>
                <w:sz w:val="28"/>
                <w:szCs w:val="28"/>
                <w:lang w:eastAsia="zh-CN"/>
              </w:rPr>
              <w:t>。</w:t>
            </w:r>
            <w:r>
              <w:rPr>
                <w:rFonts w:ascii="仿宋" w:hAnsi="仿宋" w:eastAsia="仿宋" w:cs="仿宋"/>
                <w:color w:val="auto"/>
                <w:sz w:val="28"/>
                <w:szCs w:val="28"/>
              </w:rPr>
              <w:t>将完成</w:t>
            </w:r>
            <w:r>
              <w:rPr>
                <w:rFonts w:hint="eastAsia" w:ascii="仿宋" w:hAnsi="仿宋" w:eastAsia="仿宋" w:cs="仿宋"/>
                <w:color w:val="auto"/>
                <w:sz w:val="28"/>
                <w:szCs w:val="28"/>
                <w:lang w:eastAsia="zh-CN"/>
              </w:rPr>
              <w:t>３</w:t>
            </w:r>
            <w:r>
              <w:rPr>
                <w:rFonts w:ascii="仿宋" w:hAnsi="仿宋" w:eastAsia="仿宋" w:cs="仿宋"/>
                <w:color w:val="auto"/>
                <w:sz w:val="28"/>
                <w:szCs w:val="28"/>
              </w:rPr>
              <w:t>个以上科研项目，获得</w:t>
            </w:r>
            <w:r>
              <w:rPr>
                <w:rFonts w:hint="eastAsia" w:ascii="仿宋" w:hAnsi="仿宋" w:eastAsia="仿宋" w:cs="仿宋"/>
                <w:color w:val="auto"/>
                <w:sz w:val="28"/>
                <w:szCs w:val="28"/>
                <w:lang w:eastAsia="zh-CN"/>
              </w:rPr>
              <w:t>１</w:t>
            </w:r>
            <w:r>
              <w:rPr>
                <w:rFonts w:ascii="仿宋" w:hAnsi="仿宋" w:eastAsia="仿宋" w:cs="仿宋"/>
                <w:color w:val="auto"/>
                <w:sz w:val="28"/>
                <w:szCs w:val="28"/>
              </w:rPr>
              <w:t>项以上科研奖励，</w:t>
            </w:r>
            <w:r>
              <w:rPr>
                <w:rFonts w:hint="eastAsia" w:ascii="仿宋" w:hAnsi="仿宋" w:eastAsia="仿宋" w:cs="仿宋"/>
                <w:color w:val="auto"/>
                <w:sz w:val="28"/>
                <w:szCs w:val="28"/>
                <w:lang w:eastAsia="zh-CN"/>
              </w:rPr>
              <w:t>公开发表论文</w:t>
            </w:r>
            <w:r>
              <w:rPr>
                <w:rFonts w:hint="eastAsia" w:ascii="仿宋" w:hAnsi="仿宋" w:eastAsia="仿宋" w:cs="仿宋"/>
                <w:color w:val="auto"/>
                <w:sz w:val="28"/>
                <w:szCs w:val="28"/>
                <w:lang w:val="en-US" w:eastAsia="zh-CN"/>
              </w:rPr>
              <w:t>25篇以上，完成标准修订15个，</w:t>
            </w:r>
            <w:r>
              <w:rPr>
                <w:rFonts w:ascii="仿宋" w:hAnsi="仿宋" w:eastAsia="仿宋" w:cs="仿宋"/>
                <w:color w:val="auto"/>
                <w:sz w:val="28"/>
                <w:szCs w:val="28"/>
              </w:rPr>
              <w:t>科技创新能力显著提升。</w:t>
            </w:r>
          </w:p>
          <w:p>
            <w:pPr>
              <w:rPr>
                <w:color w:val="auto"/>
              </w:rPr>
            </w:pPr>
            <w:r>
              <w:rPr>
                <w:rFonts w:hint="eastAsia"/>
                <w:color w:val="auto"/>
              </w:rPr>
              <w:t xml:space="preserve"> </w:t>
            </w:r>
            <w:r>
              <w:rPr>
                <w:color w:val="auto"/>
              </w:rPr>
              <w:t xml:space="preserve">   </w:t>
            </w:r>
            <w:r>
              <w:rPr>
                <w:rFonts w:hint="eastAsia"/>
                <w:color w:val="auto"/>
                <w:lang w:eastAsia="zh-CN"/>
              </w:rPr>
              <w:t>　</w:t>
            </w:r>
            <w:r>
              <w:rPr>
                <w:rFonts w:ascii="仿宋" w:hAnsi="仿宋" w:eastAsia="仿宋" w:cs="仿宋"/>
                <w:b/>
                <w:bCs/>
                <w:color w:val="auto"/>
                <w:sz w:val="28"/>
                <w:szCs w:val="36"/>
              </w:rPr>
              <w:t>2.</w:t>
            </w:r>
            <w:r>
              <w:rPr>
                <w:rFonts w:hint="eastAsia"/>
                <w:color w:val="auto"/>
              </w:rPr>
              <w:t xml:space="preserve"> </w:t>
            </w:r>
            <w:r>
              <w:rPr>
                <w:rFonts w:hint="eastAsia" w:ascii="仿宋" w:hAnsi="仿宋" w:eastAsia="仿宋" w:cs="仿宋"/>
                <w:b/>
                <w:bCs/>
                <w:color w:val="auto"/>
                <w:sz w:val="28"/>
                <w:szCs w:val="36"/>
              </w:rPr>
              <w:t>检验检测能力建设。</w:t>
            </w:r>
            <w:r>
              <w:rPr>
                <w:rFonts w:hint="eastAsia" w:ascii="仿宋" w:hAnsi="仿宋" w:eastAsia="仿宋" w:cs="仿宋"/>
                <w:color w:val="auto"/>
                <w:sz w:val="28"/>
                <w:szCs w:val="36"/>
              </w:rPr>
              <w:t>“十四五”末，</w:t>
            </w:r>
            <w:r>
              <w:rPr>
                <w:rFonts w:ascii="仿宋" w:hAnsi="仿宋" w:eastAsia="仿宋" w:cs="仿宋"/>
                <w:color w:val="auto"/>
                <w:sz w:val="28"/>
                <w:szCs w:val="36"/>
              </w:rPr>
              <w:t>通过资质认定的</w:t>
            </w:r>
            <w:r>
              <w:rPr>
                <w:rFonts w:hint="eastAsia" w:ascii="仿宋" w:hAnsi="仿宋" w:eastAsia="仿宋" w:cs="仿宋"/>
                <w:color w:val="auto"/>
                <w:sz w:val="28"/>
                <w:szCs w:val="36"/>
                <w:lang w:eastAsia="zh-CN"/>
              </w:rPr>
              <w:t>食品、药品、化妆品</w:t>
            </w:r>
            <w:r>
              <w:rPr>
                <w:rFonts w:ascii="仿宋" w:hAnsi="仿宋" w:eastAsia="仿宋" w:cs="仿宋"/>
                <w:color w:val="auto"/>
                <w:sz w:val="28"/>
                <w:szCs w:val="36"/>
              </w:rPr>
              <w:t>参数达1000个</w:t>
            </w:r>
            <w:r>
              <w:rPr>
                <w:rFonts w:hint="eastAsia" w:ascii="仿宋" w:hAnsi="仿宋" w:eastAsia="仿宋" w:cs="仿宋"/>
                <w:color w:val="auto"/>
                <w:sz w:val="28"/>
                <w:szCs w:val="36"/>
                <w:lang w:eastAsia="zh-CN"/>
              </w:rPr>
              <w:t>以上</w:t>
            </w:r>
            <w:r>
              <w:rPr>
                <w:rFonts w:ascii="仿宋" w:hAnsi="仿宋" w:eastAsia="仿宋" w:cs="仿宋"/>
                <w:color w:val="auto"/>
                <w:sz w:val="28"/>
                <w:szCs w:val="36"/>
              </w:rPr>
              <w:t>，完成</w:t>
            </w:r>
            <w:r>
              <w:rPr>
                <w:rFonts w:hint="eastAsia" w:ascii="仿宋" w:hAnsi="仿宋" w:eastAsia="仿宋" w:cs="仿宋"/>
                <w:color w:val="auto"/>
                <w:sz w:val="28"/>
                <w:szCs w:val="36"/>
                <w:lang w:eastAsia="zh-CN"/>
              </w:rPr>
              <w:t>食品、药品、化妆品检验</w:t>
            </w:r>
            <w:r>
              <w:rPr>
                <w:rFonts w:ascii="仿宋" w:hAnsi="仿宋" w:eastAsia="仿宋" w:cs="仿宋"/>
                <w:color w:val="auto"/>
                <w:sz w:val="28"/>
                <w:szCs w:val="36"/>
              </w:rPr>
              <w:t>3000 批次/年,检验检测能力位居全省同级食品药品检验机构前列。</w:t>
            </w:r>
          </w:p>
        </w:tc>
      </w:tr>
    </w:tbl>
    <w:p>
      <w:pPr>
        <w:pStyle w:val="36"/>
        <w:jc w:val="both"/>
        <w:outlineLvl w:val="2"/>
        <w:rPr>
          <w:rFonts w:hint="eastAsia" w:ascii="黑体" w:hAnsi="黑体" w:eastAsia="黑体" w:cs="黑体"/>
          <w:b w:val="0"/>
          <w:bCs w:val="0"/>
          <w:snapToGrid w:val="0"/>
          <w:color w:val="auto"/>
          <w:lang w:bidi="ar"/>
        </w:rPr>
      </w:pPr>
      <w:bookmarkStart w:id="59" w:name="_Toc77261212"/>
      <w:r>
        <w:rPr>
          <w:rFonts w:hint="eastAsia" w:ascii="黑体" w:hAnsi="黑体" w:eastAsia="黑体" w:cs="黑体"/>
          <w:b w:val="0"/>
          <w:bCs w:val="0"/>
          <w:snapToGrid w:val="0"/>
          <w:color w:val="auto"/>
          <w:lang w:eastAsia="zh-CN" w:bidi="ar"/>
        </w:rPr>
        <w:t>四、</w:t>
      </w:r>
      <w:r>
        <w:rPr>
          <w:rFonts w:hint="eastAsia" w:ascii="黑体" w:hAnsi="黑体" w:eastAsia="黑体" w:cs="黑体"/>
          <w:b w:val="0"/>
          <w:bCs w:val="0"/>
          <w:snapToGrid w:val="0"/>
          <w:color w:val="auto"/>
          <w:lang w:bidi="ar"/>
        </w:rPr>
        <w:t>加强特种设备检测能力建设</w:t>
      </w:r>
      <w:bookmarkEnd w:id="59"/>
    </w:p>
    <w:p>
      <w:pPr>
        <w:pStyle w:val="36"/>
        <w:ind w:firstLine="640"/>
        <w:jc w:val="both"/>
        <w:rPr>
          <w:rFonts w:hint="eastAsia" w:ascii="仿宋_GB2312" w:hAnsi="仿宋_GB2312" w:eastAsia="仿宋_GB2312" w:cs="仿宋_GB2312"/>
          <w:color w:val="auto"/>
          <w:lang w:bidi="ar"/>
        </w:rPr>
      </w:pPr>
      <w:r>
        <w:rPr>
          <w:rFonts w:hint="eastAsia" w:ascii="仿宋_GB2312" w:hAnsi="仿宋_GB2312" w:eastAsia="仿宋_GB2312" w:cs="仿宋_GB2312"/>
          <w:color w:val="auto"/>
          <w:sz w:val="32"/>
          <w:szCs w:val="32"/>
        </w:rPr>
        <w:t>强化地方区域性核心产业特种设备安全服务技术支撑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积极探索特种设备安全管理、风险管理、标准化管理、数据化管理、检验检测等方面新模式、新方法、新技术</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打造</w:t>
      </w:r>
      <w:r>
        <w:rPr>
          <w:rFonts w:hint="eastAsia" w:ascii="仿宋_GB2312" w:hAnsi="仿宋_GB2312" w:eastAsia="仿宋_GB2312" w:cs="仿宋_GB2312"/>
          <w:color w:val="auto"/>
          <w:sz w:val="32"/>
          <w:szCs w:val="32"/>
        </w:rPr>
        <w:t>“千亿硅谷”特种设备安全服务平台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围绕“中国绿色硅谷”全产业链建设，持续开发大型多晶硅装置特种设备检验检测特色应用技术，推动建立大型多晶硅装置特种设备安全风险防控及动态监管技术的研究与应用。</w:t>
      </w:r>
      <w:r>
        <w:rPr>
          <w:rFonts w:hint="eastAsia" w:ascii="仿宋_GB2312" w:hAnsi="仿宋_GB2312" w:eastAsia="仿宋_GB2312" w:cs="仿宋_GB2312"/>
          <w:color w:val="auto"/>
          <w:sz w:val="32"/>
          <w:szCs w:val="32"/>
          <w:lang w:eastAsia="zh-CN"/>
        </w:rPr>
        <w:t>打造</w:t>
      </w:r>
      <w:r>
        <w:rPr>
          <w:rFonts w:hint="eastAsia" w:ascii="仿宋_GB2312" w:hAnsi="仿宋_GB2312" w:eastAsia="仿宋_GB2312" w:cs="仿宋_GB2312"/>
          <w:color w:val="auto"/>
          <w:sz w:val="32"/>
          <w:szCs w:val="32"/>
        </w:rPr>
        <w:t>高耗能特种设备节能监测服务平台，围绕“碳中和”目标，建立全市高耗能特种设备能效状况动态管理数据库，指导高耗能特种设备技术改造</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高耗能特种设备能效测试技术研究，推进乐山市在用锅炉能效测试和节能减排走在全省前列。</w:t>
      </w:r>
      <w:r>
        <w:rPr>
          <w:rFonts w:hint="eastAsia" w:ascii="仿宋_GB2312" w:hAnsi="仿宋_GB2312" w:eastAsia="仿宋_GB2312" w:cs="仿宋_GB2312"/>
          <w:color w:val="auto"/>
          <w:sz w:val="32"/>
          <w:szCs w:val="32"/>
          <w:lang w:eastAsia="zh-CN"/>
        </w:rPr>
        <w:t>打造</w:t>
      </w:r>
      <w:r>
        <w:rPr>
          <w:rFonts w:hint="eastAsia" w:ascii="仿宋_GB2312" w:hAnsi="仿宋_GB2312" w:eastAsia="仿宋_GB2312" w:cs="仿宋_GB2312"/>
          <w:color w:val="auto"/>
          <w:sz w:val="32"/>
          <w:szCs w:val="32"/>
        </w:rPr>
        <w:t>乐山市特种设备管理服务平台，完善乐山市特种设备管理服务平台，开发数字化便民服务，在各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设置智能便民服务站，实现注册使用登记、施工告知、检验报检、检验报告领取、特种设备大数据服务等特种设备安全服务就地就近网上办理。</w:t>
      </w:r>
      <w:r>
        <w:rPr>
          <w:rFonts w:hint="eastAsia" w:ascii="仿宋_GB2312" w:hAnsi="仿宋_GB2312" w:eastAsia="仿宋_GB2312" w:cs="仿宋_GB2312"/>
          <w:color w:val="auto"/>
          <w:sz w:val="32"/>
          <w:szCs w:val="32"/>
          <w:lang w:eastAsia="zh-CN"/>
        </w:rPr>
        <w:t>打造</w:t>
      </w:r>
      <w:r>
        <w:rPr>
          <w:rFonts w:hint="eastAsia" w:ascii="仿宋_GB2312" w:hAnsi="仿宋_GB2312" w:eastAsia="仿宋_GB2312" w:cs="仿宋_GB2312"/>
          <w:color w:val="auto"/>
          <w:sz w:val="32"/>
          <w:szCs w:val="32"/>
        </w:rPr>
        <w:t>智慧电梯“96333”应急处置平台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实现电梯使用、维保、检验、检测、故障、改造、救援等全方位大数据管理，完善电梯应急三级救援体系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推动智慧电梯“一码通”体系建设，实现电梯使用信息、安全宣传、检验情况、维保情况、应急救援等“扫码”一站式服务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深化“</w:t>
      </w:r>
      <w:r>
        <w:rPr>
          <w:rFonts w:hint="eastAsia" w:ascii="仿宋_GB2312" w:hAnsi="仿宋_GB2312" w:eastAsia="仿宋_GB2312" w:cs="仿宋_GB2312"/>
          <w:color w:val="auto"/>
          <w:sz w:val="32"/>
          <w:szCs w:val="32"/>
          <w:lang w:eastAsia="zh-CN"/>
        </w:rPr>
        <w:t>科研</w:t>
      </w:r>
      <w:r>
        <w:rPr>
          <w:rFonts w:hint="eastAsia" w:ascii="仿宋_GB2312" w:hAnsi="仿宋_GB2312" w:eastAsia="仿宋_GB2312" w:cs="仿宋_GB2312"/>
          <w:color w:val="auto"/>
          <w:sz w:val="32"/>
          <w:szCs w:val="32"/>
        </w:rPr>
        <w:t>强检”战略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与电子科技大学、四川大学化工学院、四川轻化工大学、昆明理工大学等省内外知名高校进行产学研合作，共建特种设备检验检测技术研发基地和创新人才实践基地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促进特种设备检验检测技术科技成果转化</w:t>
      </w:r>
      <w:r>
        <w:rPr>
          <w:rFonts w:hint="eastAsia" w:ascii="仿宋_GB2312" w:hAnsi="仿宋_GB2312" w:eastAsia="仿宋_GB2312" w:cs="仿宋_GB2312"/>
          <w:color w:val="auto"/>
          <w:sz w:val="32"/>
          <w:szCs w:val="32"/>
          <w:lang w:eastAsia="zh-CN"/>
        </w:rPr>
        <w:t>。</w:t>
      </w:r>
    </w:p>
    <w:p>
      <w:pPr>
        <w:pStyle w:val="36"/>
        <w:jc w:val="both"/>
        <w:outlineLvl w:val="2"/>
        <w:rPr>
          <w:rFonts w:hint="eastAsia" w:ascii="黑体" w:hAnsi="黑体" w:eastAsia="黑体" w:cs="黑体"/>
          <w:b w:val="0"/>
          <w:bCs w:val="0"/>
          <w:snapToGrid w:val="0"/>
          <w:color w:val="auto"/>
          <w:lang w:eastAsia="zh-CN" w:bidi="ar"/>
        </w:rPr>
      </w:pPr>
      <w:bookmarkStart w:id="60" w:name="_Toc77261213"/>
      <w:r>
        <w:rPr>
          <w:rFonts w:hint="eastAsia" w:ascii="黑体" w:hAnsi="黑体" w:eastAsia="黑体" w:cs="黑体"/>
          <w:b w:val="0"/>
          <w:bCs w:val="0"/>
          <w:snapToGrid w:val="0"/>
          <w:color w:val="auto"/>
          <w:lang w:eastAsia="zh-CN" w:bidi="ar"/>
        </w:rPr>
        <w:t>五、促进县级技术机构发展</w:t>
      </w:r>
    </w:p>
    <w:p>
      <w:pPr>
        <w:spacing w:line="600" w:lineRule="exact"/>
        <w:ind w:firstLine="640" w:firstLineChars="200"/>
        <w:rPr>
          <w:rFonts w:hint="eastAsia" w:ascii="仿宋_GB2312" w:hAnsi="仿宋" w:eastAsia="仿宋_GB2312" w:cs="宋体"/>
          <w:color w:val="auto"/>
          <w:kern w:val="0"/>
          <w:sz w:val="32"/>
          <w:szCs w:val="32"/>
          <w:lang w:val="en-US" w:eastAsia="zh-CN" w:bidi="ar"/>
        </w:rPr>
      </w:pPr>
      <w:r>
        <w:rPr>
          <w:rFonts w:hint="eastAsia" w:ascii="仿宋_GB2312" w:hAnsi="仿宋" w:eastAsia="仿宋_GB2312" w:cs="宋体"/>
          <w:color w:val="auto"/>
          <w:kern w:val="0"/>
          <w:sz w:val="32"/>
          <w:szCs w:val="32"/>
          <w:lang w:val="en-US" w:eastAsia="zh-CN" w:bidi="ar"/>
        </w:rPr>
        <w:t>推动基层技术机构高质量发展，结合各地区域经济社会发展的特色和优势，支持有条件的区县建设一批政府认可、社会欢迎、特点鲜明、运行规范的检验检测公共技术服务平台、质量基础设施建设一站式服务分平台，承接企业检验检测技术服务外包，拓展质量分析评价、技术标准、预警与信息、咨询与培训服务等功能，打造具有县域特色的“专、精、特、新”技术机构品牌。</w:t>
      </w:r>
    </w:p>
    <w:p>
      <w:pPr>
        <w:spacing w:line="600" w:lineRule="exact"/>
        <w:ind w:firstLine="640" w:firstLineChars="200"/>
        <w:rPr>
          <w:rFonts w:hint="eastAsia" w:ascii="黑体" w:hAnsi="黑体" w:eastAsia="黑体" w:cs="黑体"/>
          <w:b w:val="0"/>
          <w:bCs w:val="0"/>
          <w:snapToGrid w:val="0"/>
          <w:color w:val="auto"/>
          <w:kern w:val="0"/>
          <w:sz w:val="32"/>
          <w:szCs w:val="32"/>
          <w:lang w:val="en-US" w:eastAsia="zh-CN" w:bidi="ar"/>
        </w:rPr>
      </w:pPr>
      <w:r>
        <w:rPr>
          <w:rFonts w:hint="eastAsia" w:ascii="黑体" w:hAnsi="黑体" w:eastAsia="黑体" w:cs="黑体"/>
          <w:b w:val="0"/>
          <w:bCs w:val="0"/>
          <w:snapToGrid w:val="0"/>
          <w:color w:val="auto"/>
          <w:kern w:val="0"/>
          <w:sz w:val="32"/>
          <w:szCs w:val="32"/>
          <w:lang w:val="en-US" w:eastAsia="zh-CN" w:bidi="ar"/>
        </w:rPr>
        <w:t>六、拓展数字市场监管</w:t>
      </w:r>
      <w:bookmarkEnd w:id="60"/>
    </w:p>
    <w:p>
      <w:pPr>
        <w:pStyle w:val="36"/>
        <w:ind w:firstLine="640"/>
        <w:jc w:val="both"/>
        <w:rPr>
          <w:rFonts w:hint="eastAsia" w:ascii="仿宋_GB2312" w:hAnsi="仿宋_GB2312" w:eastAsia="仿宋_GB2312" w:cs="仿宋_GB2312"/>
          <w:color w:val="auto"/>
          <w:lang w:bidi="ar"/>
        </w:rPr>
      </w:pPr>
      <w:r>
        <w:rPr>
          <w:rFonts w:hint="eastAsia" w:ascii="仿宋_GB2312" w:hAnsi="仿宋_GB2312" w:eastAsia="仿宋_GB2312" w:cs="仿宋_GB2312"/>
          <w:snapToGrid w:val="0"/>
          <w:color w:val="auto"/>
          <w:lang w:val="en-US" w:eastAsia="zh-CN" w:bidi="ar"/>
        </w:rPr>
        <w:t xml:space="preserve"> </w:t>
      </w:r>
      <w:r>
        <w:rPr>
          <w:rFonts w:hint="eastAsia" w:ascii="仿宋_GB2312" w:hAnsi="仿宋_GB2312" w:eastAsia="仿宋_GB2312" w:cs="仿宋_GB2312"/>
          <w:snapToGrid w:val="0"/>
          <w:color w:val="auto"/>
          <w:lang w:bidi="ar"/>
        </w:rPr>
        <w:t>应用数字化技术。</w:t>
      </w:r>
      <w:r>
        <w:rPr>
          <w:rFonts w:hint="eastAsia" w:ascii="仿宋_GB2312" w:hAnsi="仿宋_GB2312" w:eastAsia="仿宋_GB2312" w:cs="仿宋_GB2312"/>
          <w:color w:val="auto"/>
          <w:lang w:bidi="ar"/>
        </w:rPr>
        <w:t>积极导入大数据理论模型，探索搭建市场监管大数据应用实践模型，建立市场监督现代化评价指标体系，开展数据分析、趋势研判、大屏展示，清晰呈现事态的发展变化，为科学决策提供依据。</w:t>
      </w:r>
    </w:p>
    <w:p>
      <w:pPr>
        <w:pStyle w:val="36"/>
        <w:ind w:firstLine="640"/>
        <w:jc w:val="both"/>
        <w:rPr>
          <w:rFonts w:hint="eastAsia" w:ascii="仿宋_GB2312" w:hAnsi="仿宋_GB2312" w:eastAsia="仿宋_GB2312" w:cs="仿宋_GB2312"/>
          <w:snapToGrid w:val="0"/>
          <w:color w:val="auto"/>
          <w:lang w:bidi="ar"/>
        </w:rPr>
      </w:pPr>
      <w:r>
        <w:rPr>
          <w:rFonts w:hint="eastAsia" w:ascii="仿宋_GB2312" w:hAnsi="仿宋_GB2312" w:eastAsia="仿宋_GB2312" w:cs="仿宋_GB2312"/>
          <w:snapToGrid w:val="0"/>
          <w:color w:val="auto"/>
          <w:lang w:val="en-US" w:eastAsia="zh-CN" w:bidi="ar"/>
        </w:rPr>
        <w:t xml:space="preserve"> </w:t>
      </w:r>
      <w:r>
        <w:rPr>
          <w:rFonts w:hint="eastAsia" w:ascii="仿宋_GB2312" w:hAnsi="仿宋_GB2312" w:eastAsia="仿宋_GB2312" w:cs="仿宋_GB2312"/>
          <w:snapToGrid w:val="0"/>
          <w:color w:val="auto"/>
          <w:lang w:bidi="ar"/>
        </w:rPr>
        <w:t>强化数字化服务。</w:t>
      </w:r>
      <w:r>
        <w:rPr>
          <w:rFonts w:hint="eastAsia" w:ascii="仿宋_GB2312" w:hAnsi="仿宋_GB2312" w:eastAsia="仿宋_GB2312" w:cs="仿宋_GB2312"/>
          <w:color w:val="auto"/>
          <w:lang w:bidi="ar"/>
        </w:rPr>
        <w:t>依托“多证合一”“证照联办”“一件事套餐服务”改革，加快“营商通”等平台功能拓展和应用普及，优化业务流程、提升数字系统的功能性能，加强数据共享，有效避免数据重复录入，保证数据的唯一性和准确性，降低行政成本，利用数字化手段为社会公众、企业、技术机构等主体提供便捷的办事体验。打通事前和事中事后的堵点，通过源头的标准、规范、智能、自动支撑事中事后监管准确、高效。</w:t>
      </w:r>
    </w:p>
    <w:p>
      <w:pPr>
        <w:pStyle w:val="36"/>
        <w:ind w:firstLine="640"/>
        <w:jc w:val="both"/>
        <w:rPr>
          <w:rFonts w:ascii="仿宋_GB2312"/>
          <w:snapToGrid w:val="0"/>
          <w:color w:val="auto"/>
          <w:lang w:bidi="ar"/>
        </w:rPr>
      </w:pPr>
      <w:r>
        <w:rPr>
          <w:rFonts w:hint="eastAsia" w:ascii="仿宋_GB2312" w:hAnsi="仿宋_GB2312" w:eastAsia="仿宋_GB2312" w:cs="仿宋_GB2312"/>
          <w:snapToGrid w:val="0"/>
          <w:color w:val="auto"/>
          <w:lang w:val="en-US" w:eastAsia="zh-CN" w:bidi="ar"/>
        </w:rPr>
        <w:t xml:space="preserve"> </w:t>
      </w:r>
      <w:r>
        <w:rPr>
          <w:rFonts w:hint="eastAsia" w:ascii="仿宋_GB2312" w:hAnsi="仿宋_GB2312" w:eastAsia="仿宋_GB2312" w:cs="仿宋_GB2312"/>
          <w:snapToGrid w:val="0"/>
          <w:color w:val="auto"/>
          <w:lang w:bidi="ar"/>
        </w:rPr>
        <w:t>强化数字化监管。</w:t>
      </w:r>
      <w:r>
        <w:rPr>
          <w:rFonts w:hint="eastAsia" w:ascii="仿宋_GB2312" w:hAnsi="仿宋_GB2312" w:eastAsia="仿宋_GB2312" w:cs="仿宋_GB2312"/>
          <w:color w:val="auto"/>
          <w:lang w:bidi="ar"/>
        </w:rPr>
        <w:t>建立大数据监管体系，利用信息化手段，将行政审批、监督检查、稽查执法、检验检测、信用管理等信息纳入数字体系中，并落实监测标准，采取预警模式，实现对监管对象的静态感知和动态监管。探索数字化综合执法，借助移动互联网、物联网等技术开展移动执法、网络取证，利用便携式设备、执法记录仪帮助基层执法人员开展工作，运用大数据等技术为执法人员提供典型案例知识库、处罚依据法规库等，实现执法</w:t>
      </w:r>
      <w:r>
        <w:rPr>
          <w:rFonts w:hint="eastAsia" w:ascii="仿宋_GB2312" w:eastAsia="仿宋_GB2312"/>
          <w:color w:val="auto"/>
          <w:lang w:bidi="ar"/>
        </w:rPr>
        <w:t>的线上</w:t>
      </w:r>
      <w:r>
        <w:rPr>
          <w:rFonts w:hint="eastAsia" w:ascii="仿宋_GB2312" w:eastAsia="仿宋_GB2312"/>
          <w:color w:val="auto"/>
          <w:lang w:eastAsia="zh-CN" w:bidi="ar"/>
        </w:rPr>
        <w:t>线下</w:t>
      </w:r>
      <w:r>
        <w:rPr>
          <w:rFonts w:hint="eastAsia" w:ascii="仿宋_GB2312" w:eastAsia="仿宋_GB2312"/>
          <w:color w:val="auto"/>
          <w:lang w:bidi="ar"/>
        </w:rPr>
        <w:t>一</w:t>
      </w:r>
      <w:r>
        <w:rPr>
          <w:rFonts w:hint="eastAsia" w:ascii="仿宋_GB2312" w:eastAsia="仿宋_GB2312"/>
          <w:color w:val="auto"/>
          <w:lang w:eastAsia="zh-CN" w:bidi="ar"/>
        </w:rPr>
        <w:t>体</w:t>
      </w:r>
      <w:r>
        <w:rPr>
          <w:rFonts w:hint="eastAsia" w:ascii="仿宋_GB2312" w:eastAsia="仿宋_GB2312"/>
          <w:color w:val="auto"/>
          <w:lang w:bidi="ar"/>
        </w:rPr>
        <w:t>化和高效准确</w:t>
      </w:r>
      <w:r>
        <w:rPr>
          <w:rFonts w:hint="eastAsia" w:ascii="仿宋_GB2312" w:eastAsia="仿宋_GB2312"/>
          <w:color w:val="auto"/>
          <w:lang w:eastAsia="zh-CN" w:bidi="ar"/>
        </w:rPr>
        <w:t>运用</w:t>
      </w:r>
      <w:r>
        <w:rPr>
          <w:rFonts w:hint="eastAsia" w:ascii="仿宋_GB2312" w:eastAsia="仿宋_GB2312"/>
          <w:color w:val="auto"/>
          <w:lang w:bidi="ar"/>
        </w:rPr>
        <w:t>，提升</w:t>
      </w:r>
      <w:r>
        <w:rPr>
          <w:rFonts w:hint="eastAsia" w:ascii="仿宋_GB2312" w:eastAsia="仿宋_GB2312"/>
          <w:color w:val="auto"/>
          <w:lang w:eastAsia="zh-CN" w:bidi="ar"/>
        </w:rPr>
        <w:t>监管</w:t>
      </w:r>
      <w:r>
        <w:rPr>
          <w:rFonts w:hint="eastAsia" w:ascii="仿宋_GB2312" w:eastAsia="仿宋_GB2312"/>
          <w:color w:val="auto"/>
          <w:lang w:bidi="ar"/>
        </w:rPr>
        <w:t>执法效能。</w:t>
      </w:r>
    </w:p>
    <w:tbl>
      <w:tblPr>
        <w:tblStyle w:val="2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pStyle w:val="17"/>
              <w:ind w:firstLine="560"/>
              <w:jc w:val="both"/>
              <w:rPr>
                <w:color w:val="auto"/>
                <w:sz w:val="28"/>
                <w:szCs w:val="28"/>
              </w:rPr>
            </w:pPr>
            <w:r>
              <w:rPr>
                <w:rFonts w:eastAsia="黑体"/>
                <w:color w:val="auto"/>
                <w:sz w:val="28"/>
                <w:szCs w:val="28"/>
              </w:rPr>
              <w:t>专栏1</w:t>
            </w:r>
            <w:r>
              <w:rPr>
                <w:rFonts w:hint="eastAsia" w:eastAsia="黑体"/>
                <w:color w:val="auto"/>
                <w:sz w:val="28"/>
                <w:szCs w:val="28"/>
                <w:lang w:val="en-US" w:eastAsia="zh-CN"/>
              </w:rPr>
              <w:t>2</w:t>
            </w:r>
            <w:r>
              <w:rPr>
                <w:rFonts w:eastAsia="黑体"/>
                <w:color w:val="auto"/>
                <w:sz w:val="28"/>
                <w:szCs w:val="28"/>
              </w:rPr>
              <w:t>：</w:t>
            </w:r>
            <w:r>
              <w:rPr>
                <w:rFonts w:hint="eastAsia" w:eastAsia="黑体"/>
                <w:color w:val="auto"/>
                <w:sz w:val="28"/>
                <w:szCs w:val="28"/>
              </w:rPr>
              <w:t xml:space="preserve"> 数字化监管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61" w:type="dxa"/>
          </w:tcPr>
          <w:p>
            <w:pPr>
              <w:pStyle w:val="8"/>
              <w:ind w:firstLine="562" w:firstLineChars="200"/>
              <w:rPr>
                <w:color w:val="auto"/>
              </w:rPr>
            </w:pPr>
            <w:r>
              <w:rPr>
                <w:rFonts w:hint="eastAsia" w:ascii="仿宋" w:hAnsi="仿宋" w:eastAsia="仿宋" w:cs="仿宋"/>
                <w:b/>
                <w:color w:val="auto"/>
                <w:sz w:val="28"/>
                <w:szCs w:val="28"/>
              </w:rPr>
              <w:t>1.“数字化+监管”行动。</w:t>
            </w:r>
            <w:r>
              <w:rPr>
                <w:rFonts w:hint="eastAsia" w:ascii="仿宋" w:hAnsi="仿宋" w:eastAsia="仿宋" w:cs="仿宋"/>
                <w:bCs/>
                <w:color w:val="auto"/>
                <w:sz w:val="28"/>
                <w:szCs w:val="28"/>
              </w:rPr>
              <w:t>加快物联网、大数据、人工智能、区块链等技术在食品、特种设备、重要工业产品安全监管中的应用，建设覆盖食品生产、流通、餐饮全链条的智慧食品安全信息化平台，综合提升从农田到餐桌全过程监管能力，实现食品安全“源头可溯、环节可控、去向可查、风险可防、安全可靠”。建设特种设备安全综合管理平台，构建实施特种设备“安全码”制度。充分利用信息化手段，创新价格、网络交易、广告、知识产权监管方式，提升监督抽查效率，全面加强事中事后监管。</w:t>
            </w:r>
          </w:p>
        </w:tc>
      </w:tr>
    </w:tbl>
    <w:p>
      <w:pPr>
        <w:pStyle w:val="3"/>
        <w:rPr>
          <w:rFonts w:ascii="Times New Roman" w:hAnsi="Times New Roman" w:cs="Times New Roman"/>
          <w:snapToGrid w:val="0"/>
          <w:color w:val="auto"/>
          <w:kern w:val="0"/>
          <w:sz w:val="32"/>
          <w:szCs w:val="32"/>
        </w:rPr>
      </w:pPr>
      <w:bookmarkStart w:id="61" w:name="_Toc77261218"/>
      <w:r>
        <w:rPr>
          <w:rFonts w:ascii="Times New Roman" w:hAnsi="Times New Roman" w:eastAsia="黑体" w:cs="Times New Roman"/>
          <w:snapToGrid w:val="0"/>
          <w:color w:val="auto"/>
          <w:kern w:val="0"/>
          <w:sz w:val="32"/>
          <w:szCs w:val="32"/>
        </w:rPr>
        <w:t>第</w:t>
      </w:r>
      <w:r>
        <w:rPr>
          <w:rFonts w:hint="eastAsia" w:ascii="Times New Roman" w:hAnsi="Times New Roman" w:eastAsia="黑体" w:cs="Times New Roman"/>
          <w:snapToGrid w:val="0"/>
          <w:color w:val="auto"/>
          <w:kern w:val="0"/>
          <w:sz w:val="32"/>
          <w:szCs w:val="32"/>
        </w:rPr>
        <w:t>四</w:t>
      </w:r>
      <w:r>
        <w:rPr>
          <w:rFonts w:ascii="Times New Roman" w:hAnsi="Times New Roman" w:eastAsia="黑体" w:cs="Times New Roman"/>
          <w:snapToGrid w:val="0"/>
          <w:color w:val="auto"/>
          <w:kern w:val="0"/>
          <w:sz w:val="32"/>
          <w:szCs w:val="32"/>
        </w:rPr>
        <w:t>章  保障机制</w:t>
      </w:r>
      <w:bookmarkEnd w:id="61"/>
    </w:p>
    <w:p>
      <w:pPr>
        <w:pStyle w:val="5"/>
        <w:ind w:firstLine="643"/>
        <w:jc w:val="center"/>
        <w:rPr>
          <w:rFonts w:ascii="Times New Roman" w:hAnsi="Times New Roman" w:eastAsia="楷体_GB2312" w:cs="Times New Roman"/>
          <w:snapToGrid w:val="0"/>
          <w:color w:val="auto"/>
          <w:kern w:val="0"/>
        </w:rPr>
      </w:pPr>
      <w:bookmarkStart w:id="62" w:name="_Toc77261219"/>
      <w:r>
        <w:rPr>
          <w:rFonts w:ascii="Times New Roman" w:hAnsi="Times New Roman" w:eastAsia="楷体_GB2312" w:cs="Times New Roman"/>
          <w:snapToGrid w:val="0"/>
          <w:color w:val="auto"/>
          <w:kern w:val="0"/>
        </w:rPr>
        <w:t xml:space="preserve">第一节 </w:t>
      </w:r>
      <w:r>
        <w:rPr>
          <w:rFonts w:hint="eastAsia" w:ascii="Times New Roman" w:hAnsi="Times New Roman" w:eastAsia="楷体_GB2312" w:cs="Times New Roman"/>
          <w:snapToGrid w:val="0"/>
          <w:color w:val="auto"/>
          <w:kern w:val="0"/>
        </w:rPr>
        <w:t>强化组织领导</w:t>
      </w:r>
      <w:bookmarkEnd w:id="62"/>
    </w:p>
    <w:p>
      <w:pPr>
        <w:pStyle w:val="36"/>
        <w:ind w:firstLine="640"/>
        <w:rPr>
          <w:rFonts w:ascii="仿宋_GB2312" w:eastAsia="仿宋_GB2312"/>
          <w:color w:val="auto"/>
          <w:lang w:bidi="ar"/>
        </w:rPr>
      </w:pPr>
      <w:r>
        <w:rPr>
          <w:rFonts w:ascii="仿宋_GB2312" w:eastAsia="仿宋_GB2312"/>
          <w:color w:val="auto"/>
          <w:lang w:bidi="ar"/>
        </w:rPr>
        <w:t>坚持把党的领导贯穿到市场监管全过程各方面，确保市场监管改革始终沿着正确方向前进。</w:t>
      </w:r>
      <w:r>
        <w:rPr>
          <w:rFonts w:hint="eastAsia" w:ascii="仿宋_GB2312" w:eastAsia="仿宋_GB2312"/>
          <w:color w:val="auto"/>
          <w:lang w:bidi="ar"/>
        </w:rPr>
        <w:t>充分发挥规划的战略引领作用，各地政府要落实属地责任，</w:t>
      </w:r>
      <w:r>
        <w:rPr>
          <w:rFonts w:ascii="仿宋_GB2312" w:eastAsia="仿宋_GB2312"/>
          <w:color w:val="auto"/>
          <w:lang w:bidi="ar"/>
        </w:rPr>
        <w:t>强化统筹部署，</w:t>
      </w:r>
      <w:r>
        <w:rPr>
          <w:rFonts w:hint="eastAsia" w:ascii="仿宋_GB2312" w:eastAsia="仿宋_GB2312"/>
          <w:color w:val="auto"/>
          <w:lang w:bidi="ar"/>
        </w:rPr>
        <w:t>强化规划实施的组织</w:t>
      </w:r>
      <w:r>
        <w:rPr>
          <w:rFonts w:hint="eastAsia" w:ascii="仿宋_GB2312" w:eastAsia="仿宋_GB2312"/>
          <w:color w:val="auto"/>
          <w:lang w:eastAsia="zh-CN" w:bidi="ar"/>
        </w:rPr>
        <w:t>领导</w:t>
      </w:r>
      <w:r>
        <w:rPr>
          <w:rFonts w:hint="eastAsia" w:ascii="仿宋_GB2312" w:eastAsia="仿宋_GB2312"/>
          <w:color w:val="auto"/>
          <w:lang w:bidi="ar"/>
        </w:rPr>
        <w:t>。各相关部门要建立健全工作推进机制，强化统筹协调和上下联动、</w:t>
      </w:r>
      <w:r>
        <w:rPr>
          <w:rFonts w:ascii="仿宋_GB2312" w:eastAsia="仿宋_GB2312"/>
          <w:color w:val="auto"/>
          <w:lang w:bidi="ar"/>
        </w:rPr>
        <w:t>指导督促</w:t>
      </w:r>
      <w:r>
        <w:rPr>
          <w:rFonts w:hint="eastAsia" w:ascii="仿宋_GB2312" w:eastAsia="仿宋_GB2312"/>
          <w:color w:val="auto"/>
          <w:lang w:bidi="ar"/>
        </w:rPr>
        <w:t>，确保责任落实。加强规划信息公开，加强社会监督，为规划实施营造良好氛围。</w:t>
      </w:r>
    </w:p>
    <w:p>
      <w:pPr>
        <w:pStyle w:val="5"/>
        <w:ind w:firstLine="643"/>
        <w:jc w:val="center"/>
        <w:rPr>
          <w:rFonts w:ascii="Times New Roman" w:hAnsi="Times New Roman" w:eastAsia="楷体_GB2312" w:cs="Times New Roman"/>
          <w:snapToGrid w:val="0"/>
          <w:color w:val="auto"/>
          <w:kern w:val="0"/>
        </w:rPr>
      </w:pPr>
      <w:bookmarkStart w:id="63" w:name="_Toc77261220"/>
      <w:r>
        <w:rPr>
          <w:rFonts w:ascii="Times New Roman" w:hAnsi="Times New Roman" w:eastAsia="楷体_GB2312" w:cs="Times New Roman"/>
          <w:snapToGrid w:val="0"/>
          <w:color w:val="auto"/>
          <w:kern w:val="0"/>
        </w:rPr>
        <w:t>第二节  落实责任分工</w:t>
      </w:r>
      <w:bookmarkEnd w:id="63"/>
    </w:p>
    <w:p>
      <w:pPr>
        <w:pStyle w:val="36"/>
        <w:ind w:firstLine="640"/>
        <w:rPr>
          <w:rFonts w:ascii="仿宋_GB2312" w:eastAsia="仿宋_GB2312"/>
          <w:color w:val="auto"/>
          <w:lang w:bidi="ar"/>
        </w:rPr>
      </w:pPr>
      <w:r>
        <w:rPr>
          <w:rFonts w:ascii="仿宋_GB2312" w:eastAsia="仿宋_GB2312"/>
          <w:color w:val="auto"/>
          <w:lang w:bidi="ar"/>
        </w:rPr>
        <w:t>各地、各部门要深刻认识推进市场监管治理体系和治理能力现代化的重要意义，确保规划提出的各项目标任务有序推进、落地落实。各</w:t>
      </w:r>
      <w:r>
        <w:rPr>
          <w:rFonts w:hint="eastAsia" w:ascii="仿宋_GB2312" w:eastAsia="仿宋_GB2312"/>
          <w:color w:val="auto"/>
          <w:lang w:bidi="ar"/>
        </w:rPr>
        <w:t>地要</w:t>
      </w:r>
      <w:r>
        <w:rPr>
          <w:rFonts w:ascii="仿宋_GB2312" w:eastAsia="仿宋_GB2312"/>
          <w:color w:val="auto"/>
          <w:lang w:bidi="ar"/>
        </w:rPr>
        <w:t>结合实际，研究制订贯彻落实规划的实施方案，进一步分解任务、细化举措、压实责任。明确规划实施时间表、路线图和进度节点，确保按时保质完成规划预定的各项目标任务。</w:t>
      </w:r>
    </w:p>
    <w:p>
      <w:pPr>
        <w:pStyle w:val="5"/>
        <w:ind w:firstLine="643"/>
        <w:jc w:val="center"/>
        <w:rPr>
          <w:rFonts w:ascii="Times New Roman" w:hAnsi="Times New Roman" w:eastAsia="楷体_GB2312" w:cs="Times New Roman"/>
          <w:snapToGrid w:val="0"/>
          <w:color w:val="auto"/>
          <w:kern w:val="0"/>
        </w:rPr>
      </w:pPr>
      <w:bookmarkStart w:id="64" w:name="_Toc77261221"/>
      <w:r>
        <w:rPr>
          <w:rFonts w:hint="eastAsia" w:ascii="Times New Roman" w:hAnsi="Times New Roman" w:eastAsia="楷体_GB2312" w:cs="Times New Roman"/>
          <w:snapToGrid w:val="0"/>
          <w:color w:val="auto"/>
          <w:kern w:val="0"/>
        </w:rPr>
        <w:t>第三节 做好资金保障</w:t>
      </w:r>
      <w:bookmarkEnd w:id="64"/>
    </w:p>
    <w:p>
      <w:pPr>
        <w:pStyle w:val="36"/>
        <w:ind w:firstLine="640"/>
        <w:rPr>
          <w:rFonts w:ascii="仿宋_GB2312" w:eastAsia="仿宋_GB2312"/>
          <w:color w:val="auto"/>
          <w:lang w:bidi="ar"/>
        </w:rPr>
      </w:pPr>
      <w:bookmarkStart w:id="65" w:name="_Toc75794454"/>
      <w:bookmarkStart w:id="66" w:name="_Toc75794353"/>
      <w:r>
        <w:rPr>
          <w:rFonts w:hint="eastAsia" w:ascii="仿宋_GB2312" w:eastAsia="仿宋_GB2312"/>
          <w:color w:val="auto"/>
          <w:lang w:bidi="ar"/>
        </w:rPr>
        <w:t>落实经费预算保障制度，加强财政预算与规划实施的衔接，严格预算管理，确保市场监管工作经费和能力建设经费预算全部纳入各级财政预算予以保障。做好统筹协调工作，做好市场监督重大项目、重大改革、重点平台等项目的资金支持，确保项目落地。进一步科学筹划资金使用，强化资金绩效管理和风险防控，充分发挥审计监督作用，保障本规划全面实施。</w:t>
      </w:r>
      <w:bookmarkEnd w:id="65"/>
      <w:bookmarkEnd w:id="66"/>
    </w:p>
    <w:p>
      <w:pPr>
        <w:pStyle w:val="5"/>
        <w:ind w:firstLine="643"/>
        <w:jc w:val="center"/>
        <w:rPr>
          <w:rFonts w:ascii="Times New Roman" w:hAnsi="Times New Roman" w:eastAsia="楷体_GB2312" w:cs="Times New Roman"/>
          <w:snapToGrid w:val="0"/>
          <w:color w:val="auto"/>
          <w:kern w:val="0"/>
        </w:rPr>
      </w:pPr>
      <w:bookmarkStart w:id="67" w:name="_Toc77261222"/>
      <w:r>
        <w:rPr>
          <w:rFonts w:hint="eastAsia" w:ascii="Times New Roman" w:hAnsi="Times New Roman" w:eastAsia="楷体_GB2312" w:cs="Times New Roman"/>
          <w:snapToGrid w:val="0"/>
          <w:color w:val="auto"/>
          <w:kern w:val="0"/>
        </w:rPr>
        <w:t xml:space="preserve">第四节 </w:t>
      </w:r>
      <w:r>
        <w:rPr>
          <w:rFonts w:ascii="Times New Roman" w:hAnsi="Times New Roman" w:eastAsia="楷体_GB2312" w:cs="Times New Roman"/>
          <w:snapToGrid w:val="0"/>
          <w:color w:val="auto"/>
          <w:kern w:val="0"/>
        </w:rPr>
        <w:t>强化监测评估</w:t>
      </w:r>
      <w:bookmarkEnd w:id="67"/>
    </w:p>
    <w:p>
      <w:pPr>
        <w:rPr>
          <w:rFonts w:ascii="仿宋" w:hAnsi="仿宋" w:eastAsia="仿宋" w:cs="宋体"/>
          <w:snapToGrid w:val="0"/>
          <w:color w:val="auto"/>
          <w:kern w:val="0"/>
          <w:sz w:val="32"/>
          <w:szCs w:val="32"/>
          <w:lang w:val="zh-CN" w:bidi="ar"/>
        </w:rPr>
      </w:pPr>
      <w:r>
        <w:rPr>
          <w:rFonts w:hint="eastAsia"/>
          <w:snapToGrid w:val="0"/>
          <w:color w:val="auto"/>
          <w:lang w:val="zh-CN" w:bidi="ar"/>
        </w:rPr>
        <w:t>　　</w:t>
      </w:r>
      <w:r>
        <w:rPr>
          <w:rFonts w:hint="eastAsia" w:ascii="仿宋_GB2312" w:hAnsi="仿宋" w:eastAsia="仿宋_GB2312" w:cs="宋体"/>
          <w:color w:val="auto"/>
          <w:kern w:val="0"/>
          <w:sz w:val="32"/>
          <w:szCs w:val="32"/>
          <w:lang w:bidi="ar"/>
        </w:rPr>
        <w:t>　建立动态评估考核机制，组织开展规划实施年度监测分析、中期评估和总结评估，强化监测评估结果应用。各地要建立规划实施情况监测评估机制，加强跟踪监测、成效评估，对实施过程中发现的问题，要研究制度相关措施，及时推动解决，重要情况按程序请示报告。对好的做法和经验，要及时进行总结，加强复制推广。</w:t>
      </w:r>
    </w:p>
    <w:sectPr>
      <w:footerReference r:id="rId5" w:type="default"/>
      <w:pgSz w:w="11906" w:h="16838"/>
      <w:pgMar w:top="1440" w:right="1440" w:bottom="144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HanaMin"/>
    <w:panose1 w:val="00000000000000000000"/>
    <w:charset w:val="00"/>
    <w:family w:val="auto"/>
    <w:pitch w:val="default"/>
    <w:sig w:usb0="00000000" w:usb1="00000000" w:usb2="00000000" w:usb3="00000000" w:csb0="00000000" w:csb1="00000000"/>
  </w:font>
  <w:font w:name="HanaMin">
    <w:panose1 w:val="02000609000000000000"/>
    <w:charset w:val="80"/>
    <w:family w:val="auto"/>
    <w:pitch w:val="default"/>
    <w:sig w:usb0="00000001" w:usb1="08000000" w:usb2="0000000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35496877"/>
                          </w:sdtPr>
                          <w:sdtContent>
                            <w:p>
                              <w:pPr>
                                <w:pStyle w:val="13"/>
                                <w:ind w:firstLine="360"/>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435496877"/>
                    </w:sdtPr>
                    <w:sdtContent>
                      <w:p>
                        <w:pPr>
                          <w:pStyle w:val="13"/>
                          <w:ind w:firstLine="360"/>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91329743"/>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791329743"/>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6"/>
        <w:widowControl/>
        <w:spacing w:line="600" w:lineRule="exact"/>
        <w:ind w:firstLine="600" w:firstLineChars="200"/>
        <w:rPr>
          <w:rStyle w:val="26"/>
          <w:rFonts w:hint="eastAsia" w:ascii="Calibri" w:hAnsi="Calibri" w:eastAsia="宋体" w:cs="Times New Roman"/>
          <w:kern w:val="0"/>
          <w:sz w:val="30"/>
          <w:szCs w:val="30"/>
          <w:lang w:val="en-US" w:eastAsia="zh-CN"/>
        </w:rPr>
      </w:pPr>
      <w:r>
        <w:rPr>
          <w:rStyle w:val="26"/>
          <w:rFonts w:ascii="Calibri" w:hAnsi="Calibri" w:eastAsia="宋体" w:cs="Times New Roman"/>
          <w:kern w:val="0"/>
          <w:sz w:val="30"/>
          <w:szCs w:val="30"/>
        </w:rPr>
        <w:footnoteRef/>
      </w:r>
      <w:r>
        <w:rPr>
          <w:rStyle w:val="26"/>
          <w:rFonts w:ascii="Calibri" w:hAnsi="Calibri" w:eastAsia="宋体" w:cs="Times New Roman"/>
          <w:kern w:val="0"/>
          <w:sz w:val="30"/>
          <w:szCs w:val="30"/>
        </w:rPr>
        <w:t xml:space="preserve"> </w:t>
      </w:r>
      <w:r>
        <w:rPr>
          <w:rStyle w:val="26"/>
          <w:rFonts w:hint="eastAsia" w:ascii="Calibri" w:hAnsi="Calibri" w:eastAsia="宋体" w:cs="Times New Roman"/>
          <w:kern w:val="0"/>
          <w:sz w:val="30"/>
          <w:szCs w:val="30"/>
        </w:rPr>
        <w:t>“N+1”示范创建工程</w:t>
      </w:r>
      <w:r>
        <w:rPr>
          <w:rStyle w:val="26"/>
          <w:rFonts w:hint="eastAsia" w:ascii="Calibri" w:hAnsi="Calibri" w:eastAsia="宋体" w:cs="Times New Roman"/>
          <w:kern w:val="0"/>
          <w:sz w:val="30"/>
          <w:szCs w:val="30"/>
          <w:lang w:val="en-US" w:eastAsia="zh-CN"/>
        </w:rPr>
        <w:t>：开展放心舒心消费城市示范街（区）、示范商场（超市）、示范行业、乡村旅游点（农家乐）、特色小镇创建，持续开展放心舒心景区创建。</w:t>
      </w:r>
    </w:p>
  </w:footnote>
  <w:footnote w:id="1">
    <w:p>
      <w:pPr>
        <w:pStyle w:val="16"/>
        <w:widowControl/>
        <w:spacing w:line="600" w:lineRule="exact"/>
        <w:ind w:firstLine="600" w:firstLineChars="200"/>
        <w:rPr>
          <w:rStyle w:val="26"/>
          <w:rFonts w:hint="eastAsia" w:ascii="Calibri" w:hAnsi="Calibri" w:eastAsia="宋体" w:cs="Times New Roman"/>
          <w:kern w:val="0"/>
          <w:sz w:val="30"/>
          <w:szCs w:val="30"/>
          <w:lang w:val="en-US" w:eastAsia="zh-CN"/>
        </w:rPr>
      </w:pPr>
      <w:r>
        <w:rPr>
          <w:rStyle w:val="26"/>
          <w:rFonts w:ascii="Calibri" w:hAnsi="Calibri" w:eastAsia="宋体" w:cs="Times New Roman"/>
          <w:kern w:val="0"/>
          <w:sz w:val="30"/>
          <w:szCs w:val="30"/>
        </w:rPr>
        <w:footnoteRef/>
      </w:r>
      <w:r>
        <w:rPr>
          <w:rStyle w:val="26"/>
          <w:rFonts w:ascii="Calibri" w:hAnsi="Calibri" w:eastAsia="宋体" w:cs="Times New Roman"/>
          <w:kern w:val="0"/>
          <w:sz w:val="30"/>
          <w:szCs w:val="30"/>
        </w:rPr>
        <w:t xml:space="preserve"> </w:t>
      </w:r>
      <w:r>
        <w:rPr>
          <w:rStyle w:val="26"/>
          <w:rFonts w:hint="eastAsia" w:ascii="Calibri" w:hAnsi="Calibri" w:eastAsia="宋体" w:cs="Times New Roman"/>
          <w:kern w:val="0"/>
          <w:sz w:val="30"/>
          <w:szCs w:val="30"/>
        </w:rPr>
        <w:t>12315“五线合一”</w:t>
      </w:r>
      <w:r>
        <w:rPr>
          <w:rStyle w:val="26"/>
          <w:rFonts w:hint="eastAsia" w:ascii="Calibri" w:hAnsi="Calibri" w:eastAsia="宋体" w:cs="Times New Roman"/>
          <w:kern w:val="0"/>
          <w:sz w:val="30"/>
          <w:szCs w:val="30"/>
          <w:lang w:eastAsia="zh-CN"/>
        </w:rPr>
        <w:t>：</w:t>
      </w:r>
      <w:r>
        <w:rPr>
          <w:rStyle w:val="26"/>
          <w:rFonts w:hint="eastAsia" w:ascii="Calibri" w:hAnsi="Calibri" w:eastAsia="宋体" w:cs="Times New Roman"/>
          <w:kern w:val="0"/>
          <w:sz w:val="30"/>
          <w:szCs w:val="30"/>
          <w:lang w:val="en-US" w:eastAsia="zh-CN"/>
        </w:rPr>
        <w:t>将原工商行政管理12315、原质量技术监督12365、原食品药品监管12331、原价格监管12358、原知识产权0833-2430449五条热线整合进12315热线，以12315一个热线号码对外服务。</w:t>
      </w:r>
    </w:p>
    <w:p>
      <w:pPr>
        <w:pStyle w:val="16"/>
        <w:rPr>
          <w:rFonts w:hint="eastAsia" w:eastAsia="仿宋_GB2312"/>
          <w:lang w:eastAsia="zh-CN"/>
        </w:rPr>
      </w:pPr>
    </w:p>
  </w:footnote>
  <w:footnote w:id="2">
    <w:p>
      <w:pPr>
        <w:pStyle w:val="16"/>
        <w:widowControl/>
        <w:spacing w:line="600" w:lineRule="exact"/>
        <w:rPr>
          <w:rStyle w:val="26"/>
          <w:rFonts w:hint="eastAsia" w:ascii="Calibri" w:hAnsi="Calibri" w:eastAsia="宋体" w:cs="Times New Roman"/>
          <w:kern w:val="0"/>
          <w:sz w:val="30"/>
          <w:szCs w:val="30"/>
        </w:rPr>
      </w:pPr>
      <w:r>
        <w:rPr>
          <w:rStyle w:val="26"/>
          <w:rFonts w:ascii="Calibri" w:hAnsi="Calibri" w:eastAsia="宋体" w:cs="Times New Roman"/>
          <w:kern w:val="0"/>
          <w:sz w:val="30"/>
          <w:szCs w:val="30"/>
        </w:rPr>
        <w:footnoteRef/>
      </w:r>
      <w:r>
        <w:rPr>
          <w:rStyle w:val="26"/>
          <w:rFonts w:ascii="Calibri" w:hAnsi="Calibri" w:eastAsia="宋体" w:cs="Times New Roman"/>
          <w:kern w:val="0"/>
          <w:sz w:val="30"/>
          <w:szCs w:val="30"/>
        </w:rPr>
        <w:t xml:space="preserve"> </w:t>
      </w:r>
      <w:r>
        <w:rPr>
          <w:rStyle w:val="26"/>
          <w:rFonts w:hint="eastAsia" w:ascii="Calibri" w:hAnsi="Calibri" w:eastAsia="宋体" w:cs="Times New Roman"/>
          <w:kern w:val="0"/>
          <w:sz w:val="30"/>
          <w:szCs w:val="30"/>
        </w:rPr>
        <w:t>“一极一地一市一城一枢纽”</w:t>
      </w:r>
      <w:r>
        <w:rPr>
          <w:rStyle w:val="26"/>
          <w:rFonts w:hint="eastAsia" w:ascii="Calibri" w:hAnsi="Calibri" w:eastAsia="宋体" w:cs="Times New Roman"/>
          <w:kern w:val="0"/>
          <w:sz w:val="30"/>
          <w:szCs w:val="30"/>
          <w:lang w:eastAsia="zh-CN"/>
        </w:rPr>
        <w:t>：十四五时期乐山经济社会发展的</w:t>
      </w:r>
      <w:r>
        <w:rPr>
          <w:rStyle w:val="26"/>
          <w:rFonts w:hint="eastAsia" w:ascii="Calibri" w:hAnsi="Calibri" w:eastAsia="宋体" w:cs="Times New Roman"/>
          <w:kern w:val="0"/>
          <w:sz w:val="30"/>
          <w:szCs w:val="30"/>
        </w:rPr>
        <w:t>战略定位</w:t>
      </w:r>
      <w:r>
        <w:rPr>
          <w:rStyle w:val="26"/>
          <w:rFonts w:hint="eastAsia" w:ascii="Calibri" w:hAnsi="Calibri" w:eastAsia="宋体" w:cs="Times New Roman"/>
          <w:kern w:val="0"/>
          <w:sz w:val="30"/>
          <w:szCs w:val="30"/>
          <w:lang w:eastAsia="zh-CN"/>
        </w:rPr>
        <w:t>，即</w:t>
      </w:r>
      <w:r>
        <w:rPr>
          <w:rStyle w:val="26"/>
          <w:rFonts w:hint="eastAsia" w:ascii="Calibri" w:hAnsi="Calibri" w:eastAsia="宋体" w:cs="Times New Roman"/>
          <w:kern w:val="0"/>
          <w:sz w:val="30"/>
          <w:szCs w:val="30"/>
        </w:rPr>
        <w:t>建设高质量发展增长极</w:t>
      </w:r>
      <w:r>
        <w:rPr>
          <w:rStyle w:val="26"/>
          <w:rFonts w:hint="eastAsia" w:ascii="Calibri" w:hAnsi="Calibri" w:eastAsia="宋体" w:cs="Times New Roman"/>
          <w:kern w:val="0"/>
          <w:sz w:val="30"/>
          <w:szCs w:val="30"/>
          <w:lang w:eastAsia="zh-CN"/>
        </w:rPr>
        <w:t>、</w:t>
      </w:r>
      <w:r>
        <w:rPr>
          <w:rStyle w:val="26"/>
          <w:rFonts w:hint="eastAsia" w:ascii="Calibri" w:hAnsi="Calibri" w:eastAsia="宋体" w:cs="Times New Roman"/>
          <w:kern w:val="0"/>
          <w:sz w:val="30"/>
          <w:szCs w:val="30"/>
        </w:rPr>
        <w:t>建设重要旅游目的地</w:t>
      </w:r>
      <w:r>
        <w:rPr>
          <w:rStyle w:val="26"/>
          <w:rFonts w:hint="eastAsia" w:ascii="Calibri" w:hAnsi="Calibri" w:eastAsia="宋体" w:cs="Times New Roman"/>
          <w:kern w:val="0"/>
          <w:sz w:val="30"/>
          <w:szCs w:val="30"/>
          <w:lang w:eastAsia="zh-CN"/>
        </w:rPr>
        <w:t>、</w:t>
      </w:r>
      <w:r>
        <w:rPr>
          <w:rStyle w:val="26"/>
          <w:rFonts w:hint="eastAsia" w:ascii="Calibri" w:hAnsi="Calibri" w:eastAsia="宋体" w:cs="Times New Roman"/>
          <w:kern w:val="0"/>
          <w:sz w:val="30"/>
          <w:szCs w:val="30"/>
        </w:rPr>
        <w:t>建设生态文明示范市</w:t>
      </w:r>
      <w:r>
        <w:rPr>
          <w:rStyle w:val="26"/>
          <w:rFonts w:hint="eastAsia" w:ascii="Calibri" w:hAnsi="Calibri" w:eastAsia="宋体" w:cs="Times New Roman"/>
          <w:kern w:val="0"/>
          <w:sz w:val="30"/>
          <w:szCs w:val="30"/>
          <w:lang w:eastAsia="zh-CN"/>
        </w:rPr>
        <w:t>、</w:t>
      </w:r>
      <w:r>
        <w:rPr>
          <w:rStyle w:val="26"/>
          <w:rFonts w:hint="eastAsia" w:ascii="Calibri" w:hAnsi="Calibri" w:eastAsia="宋体" w:cs="Times New Roman"/>
          <w:kern w:val="0"/>
          <w:sz w:val="30"/>
          <w:szCs w:val="30"/>
        </w:rPr>
        <w:t>建设山水园林宜居城</w:t>
      </w:r>
      <w:r>
        <w:rPr>
          <w:rStyle w:val="26"/>
          <w:rFonts w:hint="eastAsia" w:ascii="Calibri" w:hAnsi="Calibri" w:eastAsia="宋体" w:cs="Times New Roman"/>
          <w:kern w:val="0"/>
          <w:sz w:val="30"/>
          <w:szCs w:val="30"/>
          <w:lang w:eastAsia="zh-CN"/>
        </w:rPr>
        <w:t>、</w:t>
      </w:r>
      <w:r>
        <w:rPr>
          <w:rStyle w:val="26"/>
          <w:rFonts w:hint="eastAsia" w:ascii="Calibri" w:hAnsi="Calibri" w:eastAsia="宋体" w:cs="Times New Roman"/>
          <w:kern w:val="0"/>
          <w:sz w:val="30"/>
          <w:szCs w:val="30"/>
        </w:rPr>
        <w:t>建设区域综合交通枢纽。</w:t>
      </w:r>
    </w:p>
  </w:footnote>
  <w:footnote w:id="3">
    <w:p>
      <w:pPr>
        <w:rPr>
          <w:rStyle w:val="26"/>
          <w:rFonts w:hint="eastAsia" w:ascii="Calibri" w:hAnsi="Calibri" w:eastAsia="宋体" w:cs="Times New Roman"/>
          <w:kern w:val="0"/>
          <w:sz w:val="30"/>
          <w:szCs w:val="30"/>
          <w:lang w:val="en-US" w:eastAsia="zh-CN" w:bidi="ar-SA"/>
        </w:rPr>
      </w:pPr>
      <w:r>
        <w:rPr>
          <w:rStyle w:val="26"/>
          <w:rFonts w:ascii="Calibri" w:hAnsi="Calibri" w:eastAsia="宋体" w:cs="Times New Roman"/>
          <w:kern w:val="0"/>
          <w:sz w:val="30"/>
          <w:szCs w:val="30"/>
          <w:lang w:val="en-US" w:eastAsia="zh-CN" w:bidi="ar-SA"/>
        </w:rPr>
        <w:footnoteRef/>
      </w:r>
      <w:r>
        <w:rPr>
          <w:rStyle w:val="26"/>
          <w:rFonts w:ascii="Calibri" w:hAnsi="Calibri" w:eastAsia="宋体" w:cs="Times New Roman"/>
          <w:kern w:val="0"/>
          <w:sz w:val="30"/>
          <w:szCs w:val="30"/>
          <w:lang w:val="en-US" w:eastAsia="zh-CN" w:bidi="ar-SA"/>
        </w:rPr>
        <w:t xml:space="preserve"> </w:t>
      </w:r>
      <w:r>
        <w:rPr>
          <w:rStyle w:val="26"/>
          <w:rFonts w:hint="eastAsia" w:ascii="Calibri" w:hAnsi="Calibri" w:eastAsia="宋体" w:cs="Times New Roman"/>
          <w:kern w:val="0"/>
          <w:sz w:val="30"/>
          <w:szCs w:val="30"/>
          <w:lang w:val="en-US" w:eastAsia="zh-CN" w:bidi="ar-SA"/>
        </w:rPr>
        <w:t>1+2+6+Ｎ的市域经济总体布局：围绕我市建设高质量发展增长极的战略定位，构建以乐山国家高新区为龙头，以创建国家级开发区和省级新区为引领，以五通桥区、沙湾区、峨眉山市、犍为县、井研县、夹江县六个省级开发区为支撑，以若干现代农业产业园区、现代服务业集聚区为节点的现代产业承载体系。</w:t>
      </w:r>
    </w:p>
  </w:footnote>
  <w:footnote w:id="4">
    <w:p>
      <w:pPr>
        <w:rPr>
          <w:rStyle w:val="26"/>
          <w:rFonts w:hint="eastAsia" w:ascii="Calibri" w:hAnsi="Calibri" w:eastAsia="宋体" w:cs="Times New Roman"/>
          <w:kern w:val="0"/>
          <w:sz w:val="30"/>
          <w:szCs w:val="30"/>
          <w:lang w:val="en-US" w:eastAsia="zh-CN" w:bidi="ar-SA"/>
        </w:rPr>
      </w:pPr>
      <w:r>
        <w:rPr>
          <w:rStyle w:val="26"/>
          <w:rFonts w:ascii="Calibri" w:hAnsi="Calibri" w:eastAsia="宋体" w:cs="Times New Roman"/>
          <w:kern w:val="0"/>
          <w:sz w:val="30"/>
          <w:szCs w:val="30"/>
          <w:lang w:val="en-US" w:eastAsia="zh-CN" w:bidi="ar-SA"/>
        </w:rPr>
        <w:footnoteRef/>
      </w:r>
      <w:r>
        <w:rPr>
          <w:rStyle w:val="26"/>
          <w:rFonts w:ascii="Calibri" w:hAnsi="Calibri" w:eastAsia="宋体" w:cs="Times New Roman"/>
          <w:kern w:val="0"/>
          <w:sz w:val="30"/>
          <w:szCs w:val="30"/>
          <w:lang w:val="en-US" w:eastAsia="zh-CN" w:bidi="ar-SA"/>
        </w:rPr>
        <w:t xml:space="preserve"> </w:t>
      </w:r>
      <w:r>
        <w:rPr>
          <w:rStyle w:val="26"/>
          <w:rFonts w:hint="eastAsia" w:ascii="Calibri" w:hAnsi="Calibri" w:eastAsia="宋体" w:cs="Times New Roman"/>
          <w:kern w:val="0"/>
          <w:sz w:val="30"/>
          <w:szCs w:val="30"/>
          <w:lang w:val="en-US" w:eastAsia="zh-CN" w:bidi="ar-SA"/>
        </w:rPr>
        <w:t>4+1现代产业体系：光电信息、先进材料、绿色化工、食品饮料4大产业和数字经济。</w:t>
      </w:r>
    </w:p>
  </w:footnote>
  <w:footnote w:id="5">
    <w:p>
      <w:pPr>
        <w:pStyle w:val="16"/>
        <w:widowControl/>
        <w:spacing w:line="600" w:lineRule="exact"/>
        <w:ind w:firstLine="600" w:firstLineChars="200"/>
        <w:rPr>
          <w:rStyle w:val="26"/>
          <w:rFonts w:hint="eastAsia" w:ascii="Calibri" w:hAnsi="Calibri" w:eastAsia="宋体" w:cs="Times New Roman"/>
          <w:kern w:val="0"/>
          <w:sz w:val="30"/>
          <w:szCs w:val="30"/>
          <w:lang w:val="en-US" w:eastAsia="zh-CN"/>
        </w:rPr>
      </w:pPr>
      <w:r>
        <w:rPr>
          <w:rStyle w:val="26"/>
          <w:rFonts w:ascii="Calibri" w:hAnsi="Calibri" w:eastAsia="宋体" w:cs="Times New Roman"/>
          <w:kern w:val="0"/>
          <w:sz w:val="30"/>
          <w:szCs w:val="30"/>
        </w:rPr>
        <w:footnoteRef/>
      </w:r>
      <w:r>
        <w:rPr>
          <w:rStyle w:val="26"/>
          <w:rFonts w:ascii="Calibri" w:hAnsi="Calibri" w:eastAsia="宋体" w:cs="Times New Roman"/>
          <w:kern w:val="0"/>
          <w:sz w:val="30"/>
          <w:szCs w:val="30"/>
        </w:rPr>
        <w:t xml:space="preserve"> </w:t>
      </w:r>
      <w:r>
        <w:rPr>
          <w:rStyle w:val="26"/>
          <w:rFonts w:hint="eastAsia" w:ascii="Calibri" w:hAnsi="Calibri" w:eastAsia="宋体" w:cs="Times New Roman"/>
          <w:kern w:val="0"/>
          <w:sz w:val="30"/>
          <w:szCs w:val="30"/>
          <w:lang w:eastAsia="zh-CN"/>
        </w:rPr>
        <w:t>“一中心两基地三区块”：</w:t>
      </w:r>
      <w:r>
        <w:rPr>
          <w:rStyle w:val="26"/>
          <w:rFonts w:hint="eastAsia" w:ascii="Calibri" w:hAnsi="Calibri" w:eastAsia="宋体" w:cs="Times New Roman"/>
          <w:kern w:val="0"/>
          <w:sz w:val="30"/>
          <w:szCs w:val="30"/>
          <w:lang w:val="en-US" w:eastAsia="zh-CN"/>
        </w:rPr>
        <w:t>基本建成成渝重要区域创新中心、四川高新技术产业带创新基地、“中国绿色硅谷”创新基地和具有乐山特色的现代农业园区创新区块、民用核技术产业创新区块、世界重要旅游目的地创新区块，全面建成省级创新型城市。</w:t>
      </w:r>
    </w:p>
    <w:p>
      <w:pPr>
        <w:pStyle w:val="16"/>
        <w:snapToGri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22AA2F"/>
    <w:multiLevelType w:val="singleLevel"/>
    <w:tmpl w:val="CA22AA2F"/>
    <w:lvl w:ilvl="0" w:tentative="0">
      <w:start w:val="2"/>
      <w:numFmt w:val="chineseCounting"/>
      <w:suff w:val="space"/>
      <w:lvlText w:val="第%1节"/>
      <w:lvlJc w:val="left"/>
      <w:pPr>
        <w:ind w:left="-13"/>
      </w:pPr>
      <w:rPr>
        <w:rFonts w:hint="eastAsia"/>
        <w:color w:val="000000" w:themeColor="text1"/>
        <w14:textFill>
          <w14:solidFill>
            <w14:schemeClr w14:val="tx1"/>
          </w14:solidFill>
        </w14:textFill>
      </w:rPr>
    </w:lvl>
  </w:abstractNum>
  <w:abstractNum w:abstractNumId="1">
    <w:nsid w:val="41920C60"/>
    <w:multiLevelType w:val="singleLevel"/>
    <w:tmpl w:val="41920C60"/>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85"/>
    <w:rsid w:val="00030C10"/>
    <w:rsid w:val="00044203"/>
    <w:rsid w:val="00056AC8"/>
    <w:rsid w:val="00063D5C"/>
    <w:rsid w:val="000657C4"/>
    <w:rsid w:val="000674FE"/>
    <w:rsid w:val="00073E82"/>
    <w:rsid w:val="00097642"/>
    <w:rsid w:val="000B40F5"/>
    <w:rsid w:val="000C0DFE"/>
    <w:rsid w:val="000D1FAD"/>
    <w:rsid w:val="000D2412"/>
    <w:rsid w:val="000F4D1E"/>
    <w:rsid w:val="00106904"/>
    <w:rsid w:val="00125211"/>
    <w:rsid w:val="00125F9E"/>
    <w:rsid w:val="0013187E"/>
    <w:rsid w:val="00141D39"/>
    <w:rsid w:val="00152445"/>
    <w:rsid w:val="0015676B"/>
    <w:rsid w:val="00161AB9"/>
    <w:rsid w:val="00171FCB"/>
    <w:rsid w:val="00183A52"/>
    <w:rsid w:val="00190CFD"/>
    <w:rsid w:val="001A17F6"/>
    <w:rsid w:val="001C6873"/>
    <w:rsid w:val="002127EC"/>
    <w:rsid w:val="00217782"/>
    <w:rsid w:val="00220361"/>
    <w:rsid w:val="00230D28"/>
    <w:rsid w:val="00253E55"/>
    <w:rsid w:val="00264EB1"/>
    <w:rsid w:val="00270D92"/>
    <w:rsid w:val="0027192D"/>
    <w:rsid w:val="00295735"/>
    <w:rsid w:val="002C18B8"/>
    <w:rsid w:val="002E3B94"/>
    <w:rsid w:val="003076D1"/>
    <w:rsid w:val="00320BBC"/>
    <w:rsid w:val="00346F42"/>
    <w:rsid w:val="00354A87"/>
    <w:rsid w:val="00363D45"/>
    <w:rsid w:val="00363DDD"/>
    <w:rsid w:val="00374C61"/>
    <w:rsid w:val="00390108"/>
    <w:rsid w:val="00396F0E"/>
    <w:rsid w:val="003C0F76"/>
    <w:rsid w:val="003D0915"/>
    <w:rsid w:val="003D10F5"/>
    <w:rsid w:val="003D1513"/>
    <w:rsid w:val="003E18B8"/>
    <w:rsid w:val="003E1917"/>
    <w:rsid w:val="003F0681"/>
    <w:rsid w:val="003F4788"/>
    <w:rsid w:val="00434B2A"/>
    <w:rsid w:val="0043528C"/>
    <w:rsid w:val="00446C20"/>
    <w:rsid w:val="004572B1"/>
    <w:rsid w:val="00465E00"/>
    <w:rsid w:val="00483856"/>
    <w:rsid w:val="004C52A4"/>
    <w:rsid w:val="004C7E26"/>
    <w:rsid w:val="004D5FB5"/>
    <w:rsid w:val="004D61FB"/>
    <w:rsid w:val="004D6C5D"/>
    <w:rsid w:val="004D7EB0"/>
    <w:rsid w:val="004E2442"/>
    <w:rsid w:val="00501796"/>
    <w:rsid w:val="005073BA"/>
    <w:rsid w:val="00507A78"/>
    <w:rsid w:val="00520768"/>
    <w:rsid w:val="00525785"/>
    <w:rsid w:val="00527CA0"/>
    <w:rsid w:val="00541ED3"/>
    <w:rsid w:val="00562057"/>
    <w:rsid w:val="00562B8E"/>
    <w:rsid w:val="0057794D"/>
    <w:rsid w:val="0058635C"/>
    <w:rsid w:val="00586793"/>
    <w:rsid w:val="005A5631"/>
    <w:rsid w:val="005B036C"/>
    <w:rsid w:val="005B2E9B"/>
    <w:rsid w:val="005B4114"/>
    <w:rsid w:val="005B55BC"/>
    <w:rsid w:val="005C08BD"/>
    <w:rsid w:val="005E1065"/>
    <w:rsid w:val="005E4D1E"/>
    <w:rsid w:val="005F6A90"/>
    <w:rsid w:val="00601B8C"/>
    <w:rsid w:val="0060449A"/>
    <w:rsid w:val="0061720B"/>
    <w:rsid w:val="00631C28"/>
    <w:rsid w:val="00635E78"/>
    <w:rsid w:val="00666D9C"/>
    <w:rsid w:val="00686500"/>
    <w:rsid w:val="006A3154"/>
    <w:rsid w:val="006A6CC3"/>
    <w:rsid w:val="006B7176"/>
    <w:rsid w:val="006D0B6B"/>
    <w:rsid w:val="006D574C"/>
    <w:rsid w:val="006E08BC"/>
    <w:rsid w:val="006F4931"/>
    <w:rsid w:val="007116FD"/>
    <w:rsid w:val="00721476"/>
    <w:rsid w:val="00731877"/>
    <w:rsid w:val="007427F2"/>
    <w:rsid w:val="007464E7"/>
    <w:rsid w:val="00755D7B"/>
    <w:rsid w:val="00764D21"/>
    <w:rsid w:val="007773A1"/>
    <w:rsid w:val="0078352D"/>
    <w:rsid w:val="00791B13"/>
    <w:rsid w:val="00795617"/>
    <w:rsid w:val="007B108F"/>
    <w:rsid w:val="007B30FE"/>
    <w:rsid w:val="007C0215"/>
    <w:rsid w:val="007C0AC0"/>
    <w:rsid w:val="007D5B59"/>
    <w:rsid w:val="007E09C7"/>
    <w:rsid w:val="007E4914"/>
    <w:rsid w:val="007E6106"/>
    <w:rsid w:val="007F0D14"/>
    <w:rsid w:val="00805475"/>
    <w:rsid w:val="00832083"/>
    <w:rsid w:val="008331CE"/>
    <w:rsid w:val="00841FB7"/>
    <w:rsid w:val="00843208"/>
    <w:rsid w:val="00850409"/>
    <w:rsid w:val="0085619C"/>
    <w:rsid w:val="008619EB"/>
    <w:rsid w:val="00883EB4"/>
    <w:rsid w:val="00892DD8"/>
    <w:rsid w:val="008A2E94"/>
    <w:rsid w:val="008B5B10"/>
    <w:rsid w:val="008E14AB"/>
    <w:rsid w:val="008E41B2"/>
    <w:rsid w:val="008F27DD"/>
    <w:rsid w:val="008F5C78"/>
    <w:rsid w:val="00903D92"/>
    <w:rsid w:val="0090531E"/>
    <w:rsid w:val="0092473D"/>
    <w:rsid w:val="00934674"/>
    <w:rsid w:val="009557B5"/>
    <w:rsid w:val="0098345D"/>
    <w:rsid w:val="0099771C"/>
    <w:rsid w:val="009A19BC"/>
    <w:rsid w:val="009A6F81"/>
    <w:rsid w:val="009C3189"/>
    <w:rsid w:val="00A0467D"/>
    <w:rsid w:val="00A13C92"/>
    <w:rsid w:val="00A520C3"/>
    <w:rsid w:val="00A7651C"/>
    <w:rsid w:val="00A8568E"/>
    <w:rsid w:val="00A87ACF"/>
    <w:rsid w:val="00A97045"/>
    <w:rsid w:val="00AA4384"/>
    <w:rsid w:val="00AB2979"/>
    <w:rsid w:val="00AC077F"/>
    <w:rsid w:val="00AC15E0"/>
    <w:rsid w:val="00AC33E6"/>
    <w:rsid w:val="00AD56ED"/>
    <w:rsid w:val="00AD5891"/>
    <w:rsid w:val="00B03EE7"/>
    <w:rsid w:val="00B341BA"/>
    <w:rsid w:val="00B476B6"/>
    <w:rsid w:val="00B5415D"/>
    <w:rsid w:val="00B55D4A"/>
    <w:rsid w:val="00B738D3"/>
    <w:rsid w:val="00BA2876"/>
    <w:rsid w:val="00BB1135"/>
    <w:rsid w:val="00BB6E15"/>
    <w:rsid w:val="00BC28FF"/>
    <w:rsid w:val="00BC3B81"/>
    <w:rsid w:val="00BE62F1"/>
    <w:rsid w:val="00C2638A"/>
    <w:rsid w:val="00C30012"/>
    <w:rsid w:val="00C306FA"/>
    <w:rsid w:val="00C527B2"/>
    <w:rsid w:val="00C53F63"/>
    <w:rsid w:val="00C81840"/>
    <w:rsid w:val="00C83153"/>
    <w:rsid w:val="00C85989"/>
    <w:rsid w:val="00C92359"/>
    <w:rsid w:val="00CA24A0"/>
    <w:rsid w:val="00CB22B7"/>
    <w:rsid w:val="00CE093D"/>
    <w:rsid w:val="00CE12CB"/>
    <w:rsid w:val="00CE788C"/>
    <w:rsid w:val="00CF60B3"/>
    <w:rsid w:val="00D0386B"/>
    <w:rsid w:val="00D061A7"/>
    <w:rsid w:val="00D10534"/>
    <w:rsid w:val="00D2518D"/>
    <w:rsid w:val="00D35C11"/>
    <w:rsid w:val="00D5755F"/>
    <w:rsid w:val="00D6095E"/>
    <w:rsid w:val="00D614E8"/>
    <w:rsid w:val="00D65389"/>
    <w:rsid w:val="00D702A8"/>
    <w:rsid w:val="00D74075"/>
    <w:rsid w:val="00D80577"/>
    <w:rsid w:val="00D835DD"/>
    <w:rsid w:val="00DB4812"/>
    <w:rsid w:val="00DC6B64"/>
    <w:rsid w:val="00E21B44"/>
    <w:rsid w:val="00E3389B"/>
    <w:rsid w:val="00E41178"/>
    <w:rsid w:val="00E43CCE"/>
    <w:rsid w:val="00E44CF5"/>
    <w:rsid w:val="00E54E6C"/>
    <w:rsid w:val="00E60617"/>
    <w:rsid w:val="00E71A62"/>
    <w:rsid w:val="00E85D0C"/>
    <w:rsid w:val="00EE6E86"/>
    <w:rsid w:val="00EF01ED"/>
    <w:rsid w:val="00F017BF"/>
    <w:rsid w:val="00F1055D"/>
    <w:rsid w:val="00F1455E"/>
    <w:rsid w:val="00F33E82"/>
    <w:rsid w:val="00F34627"/>
    <w:rsid w:val="00F9359C"/>
    <w:rsid w:val="00F9672C"/>
    <w:rsid w:val="00FA7D74"/>
    <w:rsid w:val="00FA7F80"/>
    <w:rsid w:val="00FC04AD"/>
    <w:rsid w:val="00FC16F7"/>
    <w:rsid w:val="00FD5188"/>
    <w:rsid w:val="00FE1D67"/>
    <w:rsid w:val="00FF2F44"/>
    <w:rsid w:val="01213EC3"/>
    <w:rsid w:val="02497AA1"/>
    <w:rsid w:val="02576131"/>
    <w:rsid w:val="02D7236C"/>
    <w:rsid w:val="03B42657"/>
    <w:rsid w:val="03DC466B"/>
    <w:rsid w:val="045C6242"/>
    <w:rsid w:val="04994F85"/>
    <w:rsid w:val="04BB2E7A"/>
    <w:rsid w:val="05B171CA"/>
    <w:rsid w:val="05E33921"/>
    <w:rsid w:val="063027C7"/>
    <w:rsid w:val="066325EF"/>
    <w:rsid w:val="06AF5D24"/>
    <w:rsid w:val="06B13DCE"/>
    <w:rsid w:val="06C07D21"/>
    <w:rsid w:val="06D940D4"/>
    <w:rsid w:val="07020515"/>
    <w:rsid w:val="070B04EB"/>
    <w:rsid w:val="078E528D"/>
    <w:rsid w:val="07CE33AB"/>
    <w:rsid w:val="08E916E6"/>
    <w:rsid w:val="09630E3B"/>
    <w:rsid w:val="0A1A48BD"/>
    <w:rsid w:val="0A66158D"/>
    <w:rsid w:val="0B827703"/>
    <w:rsid w:val="0BDD3880"/>
    <w:rsid w:val="0BF871AD"/>
    <w:rsid w:val="0C0B4A2C"/>
    <w:rsid w:val="0C782B83"/>
    <w:rsid w:val="0CD548E7"/>
    <w:rsid w:val="0CE561DC"/>
    <w:rsid w:val="0DAB4C16"/>
    <w:rsid w:val="0E7FBD86"/>
    <w:rsid w:val="0E8B2923"/>
    <w:rsid w:val="0F394925"/>
    <w:rsid w:val="0F5671FA"/>
    <w:rsid w:val="0F6111B7"/>
    <w:rsid w:val="0F6D85B7"/>
    <w:rsid w:val="0FBB618C"/>
    <w:rsid w:val="0FE01386"/>
    <w:rsid w:val="101F3FED"/>
    <w:rsid w:val="104127FE"/>
    <w:rsid w:val="10471AE0"/>
    <w:rsid w:val="10CB4544"/>
    <w:rsid w:val="11DB26E7"/>
    <w:rsid w:val="1295197B"/>
    <w:rsid w:val="12B44B55"/>
    <w:rsid w:val="12FD525B"/>
    <w:rsid w:val="130E2DD2"/>
    <w:rsid w:val="13A16692"/>
    <w:rsid w:val="13A949DF"/>
    <w:rsid w:val="13D35399"/>
    <w:rsid w:val="13FF5B41"/>
    <w:rsid w:val="1456886C"/>
    <w:rsid w:val="14A05809"/>
    <w:rsid w:val="151820B4"/>
    <w:rsid w:val="15EB3138"/>
    <w:rsid w:val="163C0F2A"/>
    <w:rsid w:val="16910465"/>
    <w:rsid w:val="16A4375D"/>
    <w:rsid w:val="171A04D3"/>
    <w:rsid w:val="1722138E"/>
    <w:rsid w:val="17D16020"/>
    <w:rsid w:val="17D8274B"/>
    <w:rsid w:val="18230C4C"/>
    <w:rsid w:val="18476222"/>
    <w:rsid w:val="18706640"/>
    <w:rsid w:val="187F4276"/>
    <w:rsid w:val="18C53C37"/>
    <w:rsid w:val="18C92137"/>
    <w:rsid w:val="19686C9F"/>
    <w:rsid w:val="1985236E"/>
    <w:rsid w:val="19BD5D20"/>
    <w:rsid w:val="1A5416E3"/>
    <w:rsid w:val="1AE67CB3"/>
    <w:rsid w:val="1AF449A3"/>
    <w:rsid w:val="1B0D9FF6"/>
    <w:rsid w:val="1B344615"/>
    <w:rsid w:val="1B401544"/>
    <w:rsid w:val="1BB63630"/>
    <w:rsid w:val="1D22629F"/>
    <w:rsid w:val="1DDD373A"/>
    <w:rsid w:val="1DEB5F2F"/>
    <w:rsid w:val="1E14234D"/>
    <w:rsid w:val="1E9772A9"/>
    <w:rsid w:val="1EC562F3"/>
    <w:rsid w:val="1F410DFC"/>
    <w:rsid w:val="1F4A49C4"/>
    <w:rsid w:val="1F603373"/>
    <w:rsid w:val="1F6335E7"/>
    <w:rsid w:val="1F7B95BA"/>
    <w:rsid w:val="1FBA7A68"/>
    <w:rsid w:val="1FFB5B4D"/>
    <w:rsid w:val="205B516E"/>
    <w:rsid w:val="207D6A56"/>
    <w:rsid w:val="216204D0"/>
    <w:rsid w:val="21B44A65"/>
    <w:rsid w:val="21C174C6"/>
    <w:rsid w:val="21FE0FA0"/>
    <w:rsid w:val="22520ACD"/>
    <w:rsid w:val="234A43D9"/>
    <w:rsid w:val="23746579"/>
    <w:rsid w:val="23C80F55"/>
    <w:rsid w:val="23F92E30"/>
    <w:rsid w:val="255A79CE"/>
    <w:rsid w:val="262334DD"/>
    <w:rsid w:val="26853B57"/>
    <w:rsid w:val="26C874EF"/>
    <w:rsid w:val="26F86062"/>
    <w:rsid w:val="28665D31"/>
    <w:rsid w:val="28FD55EC"/>
    <w:rsid w:val="2991469A"/>
    <w:rsid w:val="2BE37670"/>
    <w:rsid w:val="2BE7432D"/>
    <w:rsid w:val="2C1A7D96"/>
    <w:rsid w:val="2C866BC6"/>
    <w:rsid w:val="2DC14CBC"/>
    <w:rsid w:val="2DFA25F3"/>
    <w:rsid w:val="2DFE0F09"/>
    <w:rsid w:val="2E3741DA"/>
    <w:rsid w:val="2E5110D2"/>
    <w:rsid w:val="2EFE7A93"/>
    <w:rsid w:val="2F550A8A"/>
    <w:rsid w:val="2FBF9B25"/>
    <w:rsid w:val="30F60825"/>
    <w:rsid w:val="31720C96"/>
    <w:rsid w:val="31A93629"/>
    <w:rsid w:val="327D48A2"/>
    <w:rsid w:val="329E6F14"/>
    <w:rsid w:val="346A29E1"/>
    <w:rsid w:val="34721826"/>
    <w:rsid w:val="34A81E05"/>
    <w:rsid w:val="34CE4222"/>
    <w:rsid w:val="34D414D5"/>
    <w:rsid w:val="34FF8C06"/>
    <w:rsid w:val="355B4538"/>
    <w:rsid w:val="35687887"/>
    <w:rsid w:val="35B22770"/>
    <w:rsid w:val="35F70E96"/>
    <w:rsid w:val="37EF5BE2"/>
    <w:rsid w:val="37EF7C6F"/>
    <w:rsid w:val="3955391D"/>
    <w:rsid w:val="396E4003"/>
    <w:rsid w:val="39F5D663"/>
    <w:rsid w:val="3A4116D0"/>
    <w:rsid w:val="3B571466"/>
    <w:rsid w:val="3B643530"/>
    <w:rsid w:val="3B8F3F22"/>
    <w:rsid w:val="3BDFE478"/>
    <w:rsid w:val="3BFFDCBB"/>
    <w:rsid w:val="3BFFF330"/>
    <w:rsid w:val="3C42618A"/>
    <w:rsid w:val="3C7FDF7D"/>
    <w:rsid w:val="3CE254D2"/>
    <w:rsid w:val="3D2448B1"/>
    <w:rsid w:val="3D251FA8"/>
    <w:rsid w:val="3D495D44"/>
    <w:rsid w:val="3D79A9D1"/>
    <w:rsid w:val="3DF228CF"/>
    <w:rsid w:val="3E066522"/>
    <w:rsid w:val="3E9226BE"/>
    <w:rsid w:val="3EBF4D18"/>
    <w:rsid w:val="3EF03693"/>
    <w:rsid w:val="3EFBFABA"/>
    <w:rsid w:val="3EFFBC00"/>
    <w:rsid w:val="3F0A523C"/>
    <w:rsid w:val="3F3F12E3"/>
    <w:rsid w:val="3F547DA9"/>
    <w:rsid w:val="3F5F441E"/>
    <w:rsid w:val="3F9E4E11"/>
    <w:rsid w:val="3FBBC4A1"/>
    <w:rsid w:val="3FBF3B7D"/>
    <w:rsid w:val="3FBF9210"/>
    <w:rsid w:val="3FDF0D2B"/>
    <w:rsid w:val="3FDFBB64"/>
    <w:rsid w:val="3FE90CE2"/>
    <w:rsid w:val="405D12F0"/>
    <w:rsid w:val="408850D9"/>
    <w:rsid w:val="40C701D4"/>
    <w:rsid w:val="40D91B2C"/>
    <w:rsid w:val="434B782B"/>
    <w:rsid w:val="44AC1EAA"/>
    <w:rsid w:val="44C572DE"/>
    <w:rsid w:val="45795057"/>
    <w:rsid w:val="458A3220"/>
    <w:rsid w:val="466066E2"/>
    <w:rsid w:val="467022E2"/>
    <w:rsid w:val="46705B73"/>
    <w:rsid w:val="468563BE"/>
    <w:rsid w:val="46BD2737"/>
    <w:rsid w:val="48F52E91"/>
    <w:rsid w:val="49602B46"/>
    <w:rsid w:val="49D34163"/>
    <w:rsid w:val="4AA40D12"/>
    <w:rsid w:val="4BFD532D"/>
    <w:rsid w:val="4C5D7062"/>
    <w:rsid w:val="4D3E251A"/>
    <w:rsid w:val="4D7446B8"/>
    <w:rsid w:val="4D98001C"/>
    <w:rsid w:val="4DF74CD4"/>
    <w:rsid w:val="4E2A19AF"/>
    <w:rsid w:val="4E7C4C05"/>
    <w:rsid w:val="4ED9583F"/>
    <w:rsid w:val="4F283575"/>
    <w:rsid w:val="4F74FA99"/>
    <w:rsid w:val="4FFE0066"/>
    <w:rsid w:val="501B16BB"/>
    <w:rsid w:val="503619EA"/>
    <w:rsid w:val="50AD45D3"/>
    <w:rsid w:val="50E851E9"/>
    <w:rsid w:val="50ED76A8"/>
    <w:rsid w:val="51122603"/>
    <w:rsid w:val="51356BA1"/>
    <w:rsid w:val="51CC06D4"/>
    <w:rsid w:val="51D22B9E"/>
    <w:rsid w:val="51D52B89"/>
    <w:rsid w:val="51FED7AB"/>
    <w:rsid w:val="53901F3B"/>
    <w:rsid w:val="53F8393A"/>
    <w:rsid w:val="55760273"/>
    <w:rsid w:val="55937143"/>
    <w:rsid w:val="569F0EB5"/>
    <w:rsid w:val="56A06782"/>
    <w:rsid w:val="56B90E68"/>
    <w:rsid w:val="56D744BA"/>
    <w:rsid w:val="56E2B8B6"/>
    <w:rsid w:val="56E85289"/>
    <w:rsid w:val="577DF81D"/>
    <w:rsid w:val="57BB741A"/>
    <w:rsid w:val="57FB49D8"/>
    <w:rsid w:val="580E0E1B"/>
    <w:rsid w:val="58115036"/>
    <w:rsid w:val="589A1AC3"/>
    <w:rsid w:val="58A1186A"/>
    <w:rsid w:val="58DD67E0"/>
    <w:rsid w:val="592078C6"/>
    <w:rsid w:val="594C5993"/>
    <w:rsid w:val="59AC0026"/>
    <w:rsid w:val="59DD5942"/>
    <w:rsid w:val="59FDF582"/>
    <w:rsid w:val="5A607715"/>
    <w:rsid w:val="5A921C0A"/>
    <w:rsid w:val="5ABD5E35"/>
    <w:rsid w:val="5AC45C3D"/>
    <w:rsid w:val="5B47389F"/>
    <w:rsid w:val="5BD462C2"/>
    <w:rsid w:val="5C6B1F27"/>
    <w:rsid w:val="5CFC681A"/>
    <w:rsid w:val="5DBA632E"/>
    <w:rsid w:val="5E054821"/>
    <w:rsid w:val="5E545413"/>
    <w:rsid w:val="5E7B4BAF"/>
    <w:rsid w:val="5ED53D91"/>
    <w:rsid w:val="5EFA7CCD"/>
    <w:rsid w:val="5F7B0A6E"/>
    <w:rsid w:val="5F9768EF"/>
    <w:rsid w:val="5FB3721A"/>
    <w:rsid w:val="5FB75ADD"/>
    <w:rsid w:val="5FF71E2B"/>
    <w:rsid w:val="60761B57"/>
    <w:rsid w:val="60AD598A"/>
    <w:rsid w:val="60C35A7D"/>
    <w:rsid w:val="61761DA4"/>
    <w:rsid w:val="61B87495"/>
    <w:rsid w:val="62073696"/>
    <w:rsid w:val="626A7FBD"/>
    <w:rsid w:val="6276A6A9"/>
    <w:rsid w:val="62A511B6"/>
    <w:rsid w:val="62AD338D"/>
    <w:rsid w:val="6343321B"/>
    <w:rsid w:val="6375D812"/>
    <w:rsid w:val="63995DFE"/>
    <w:rsid w:val="63A425E5"/>
    <w:rsid w:val="63BFD95A"/>
    <w:rsid w:val="63EE31D8"/>
    <w:rsid w:val="63FF2973"/>
    <w:rsid w:val="646950C8"/>
    <w:rsid w:val="6502380C"/>
    <w:rsid w:val="651204C9"/>
    <w:rsid w:val="651C2658"/>
    <w:rsid w:val="65B2457B"/>
    <w:rsid w:val="66590050"/>
    <w:rsid w:val="66A65DEC"/>
    <w:rsid w:val="67AB49B7"/>
    <w:rsid w:val="67C04262"/>
    <w:rsid w:val="67C11222"/>
    <w:rsid w:val="67FE16D7"/>
    <w:rsid w:val="68175329"/>
    <w:rsid w:val="685176F7"/>
    <w:rsid w:val="691037EE"/>
    <w:rsid w:val="69622E04"/>
    <w:rsid w:val="69EB3538"/>
    <w:rsid w:val="6A6869BA"/>
    <w:rsid w:val="6ABEDA72"/>
    <w:rsid w:val="6B4E0CD4"/>
    <w:rsid w:val="6C0604E5"/>
    <w:rsid w:val="6C1606D2"/>
    <w:rsid w:val="6C335E38"/>
    <w:rsid w:val="6C3F0C2F"/>
    <w:rsid w:val="6C4112FD"/>
    <w:rsid w:val="6D9F5354"/>
    <w:rsid w:val="6DF06D6D"/>
    <w:rsid w:val="6E6A3E8D"/>
    <w:rsid w:val="6E6E37F0"/>
    <w:rsid w:val="6EAB531E"/>
    <w:rsid w:val="6EDF7B3B"/>
    <w:rsid w:val="6F7C49DE"/>
    <w:rsid w:val="6FBB27F8"/>
    <w:rsid w:val="6FCD5CC1"/>
    <w:rsid w:val="6FFF438D"/>
    <w:rsid w:val="703E6EAE"/>
    <w:rsid w:val="70CA5FE0"/>
    <w:rsid w:val="723C2109"/>
    <w:rsid w:val="72ABAA1A"/>
    <w:rsid w:val="72E57734"/>
    <w:rsid w:val="73085C15"/>
    <w:rsid w:val="7347517D"/>
    <w:rsid w:val="738E947D"/>
    <w:rsid w:val="73C82ABA"/>
    <w:rsid w:val="747B1010"/>
    <w:rsid w:val="74D824C2"/>
    <w:rsid w:val="752B3749"/>
    <w:rsid w:val="757D39D4"/>
    <w:rsid w:val="757DE146"/>
    <w:rsid w:val="75E94316"/>
    <w:rsid w:val="75ED5D32"/>
    <w:rsid w:val="76B22923"/>
    <w:rsid w:val="76D839DE"/>
    <w:rsid w:val="76D95DFD"/>
    <w:rsid w:val="76F47F64"/>
    <w:rsid w:val="770C1C61"/>
    <w:rsid w:val="7757535A"/>
    <w:rsid w:val="777D9881"/>
    <w:rsid w:val="778FECE4"/>
    <w:rsid w:val="779926EC"/>
    <w:rsid w:val="77B41438"/>
    <w:rsid w:val="77BD6A86"/>
    <w:rsid w:val="77BE7FC3"/>
    <w:rsid w:val="77C77DD0"/>
    <w:rsid w:val="77F8203E"/>
    <w:rsid w:val="77FBE2F4"/>
    <w:rsid w:val="77FD211A"/>
    <w:rsid w:val="77FE34E2"/>
    <w:rsid w:val="77FF36CC"/>
    <w:rsid w:val="77FFBDAF"/>
    <w:rsid w:val="78142A0B"/>
    <w:rsid w:val="78BF407B"/>
    <w:rsid w:val="78D33968"/>
    <w:rsid w:val="78F54010"/>
    <w:rsid w:val="78FD4B4D"/>
    <w:rsid w:val="79D33E11"/>
    <w:rsid w:val="79E5710E"/>
    <w:rsid w:val="7A5A1E4D"/>
    <w:rsid w:val="7B246485"/>
    <w:rsid w:val="7BBF3854"/>
    <w:rsid w:val="7BC8658A"/>
    <w:rsid w:val="7BF4031F"/>
    <w:rsid w:val="7BF4E460"/>
    <w:rsid w:val="7BFA5AD5"/>
    <w:rsid w:val="7C113B48"/>
    <w:rsid w:val="7C22617D"/>
    <w:rsid w:val="7C505207"/>
    <w:rsid w:val="7C847C29"/>
    <w:rsid w:val="7CA3E458"/>
    <w:rsid w:val="7CBC2D26"/>
    <w:rsid w:val="7CD92598"/>
    <w:rsid w:val="7CF733A0"/>
    <w:rsid w:val="7D3B50CC"/>
    <w:rsid w:val="7DFBB4AD"/>
    <w:rsid w:val="7DFF295F"/>
    <w:rsid w:val="7DFF907B"/>
    <w:rsid w:val="7E2A5525"/>
    <w:rsid w:val="7E57E908"/>
    <w:rsid w:val="7E7EB8F2"/>
    <w:rsid w:val="7E9B0AA7"/>
    <w:rsid w:val="7EA77083"/>
    <w:rsid w:val="7F020C49"/>
    <w:rsid w:val="7F100C26"/>
    <w:rsid w:val="7F5FEF63"/>
    <w:rsid w:val="7F7D58EC"/>
    <w:rsid w:val="7F7F2D42"/>
    <w:rsid w:val="7FBB3687"/>
    <w:rsid w:val="7FBF74BB"/>
    <w:rsid w:val="7FD54768"/>
    <w:rsid w:val="7FF27A3B"/>
    <w:rsid w:val="7FF7AB75"/>
    <w:rsid w:val="7FF7F970"/>
    <w:rsid w:val="7FFF67FB"/>
    <w:rsid w:val="7FFFB166"/>
    <w:rsid w:val="7FFFC8E7"/>
    <w:rsid w:val="8C2C80D9"/>
    <w:rsid w:val="8FB735BE"/>
    <w:rsid w:val="969FDE0B"/>
    <w:rsid w:val="9D4B5CFF"/>
    <w:rsid w:val="9E3FC963"/>
    <w:rsid w:val="9EBECB9A"/>
    <w:rsid w:val="A5FF8997"/>
    <w:rsid w:val="A61D1018"/>
    <w:rsid w:val="A74740F6"/>
    <w:rsid w:val="A7938ABC"/>
    <w:rsid w:val="ABCFC8FE"/>
    <w:rsid w:val="AD5F5AE9"/>
    <w:rsid w:val="ADA62ABE"/>
    <w:rsid w:val="ADB30993"/>
    <w:rsid w:val="B7CC866A"/>
    <w:rsid w:val="B8FDC121"/>
    <w:rsid w:val="B9AC637D"/>
    <w:rsid w:val="BA5D768D"/>
    <w:rsid w:val="BA7B23C6"/>
    <w:rsid w:val="BA975BBF"/>
    <w:rsid w:val="BC7F552B"/>
    <w:rsid w:val="BCB0BF4B"/>
    <w:rsid w:val="BD6F11AA"/>
    <w:rsid w:val="BD7F9CAA"/>
    <w:rsid w:val="BDA6EEC2"/>
    <w:rsid w:val="BE33C235"/>
    <w:rsid w:val="BEF96B1C"/>
    <w:rsid w:val="BFEE9C0F"/>
    <w:rsid w:val="C6BFCBC2"/>
    <w:rsid w:val="CBEB9DAD"/>
    <w:rsid w:val="CBFDCAD2"/>
    <w:rsid w:val="CD5B64C4"/>
    <w:rsid w:val="CDF85D23"/>
    <w:rsid w:val="CEA7E447"/>
    <w:rsid w:val="CFAE932D"/>
    <w:rsid w:val="CFFAC242"/>
    <w:rsid w:val="CFFF7263"/>
    <w:rsid w:val="D3F502E2"/>
    <w:rsid w:val="D46E14EC"/>
    <w:rsid w:val="D6DF1280"/>
    <w:rsid w:val="D8CB1EE3"/>
    <w:rsid w:val="DB6B8064"/>
    <w:rsid w:val="DBA9DD6E"/>
    <w:rsid w:val="DEF9A2D3"/>
    <w:rsid w:val="DEFEBF5D"/>
    <w:rsid w:val="DF9B5631"/>
    <w:rsid w:val="DFDDF914"/>
    <w:rsid w:val="DFDE0090"/>
    <w:rsid w:val="DFEF4FF9"/>
    <w:rsid w:val="DFEFD79F"/>
    <w:rsid w:val="DFF63BF8"/>
    <w:rsid w:val="DFF7E9E8"/>
    <w:rsid w:val="E33F68C8"/>
    <w:rsid w:val="E4EED68D"/>
    <w:rsid w:val="E60E33A9"/>
    <w:rsid w:val="E6BB27BC"/>
    <w:rsid w:val="E7993E66"/>
    <w:rsid w:val="E7AFF846"/>
    <w:rsid w:val="E9F71EFB"/>
    <w:rsid w:val="EBF0332F"/>
    <w:rsid w:val="EBFE8EE8"/>
    <w:rsid w:val="EDBF5C7A"/>
    <w:rsid w:val="EDFF4E41"/>
    <w:rsid w:val="EE4F2258"/>
    <w:rsid w:val="EE7F30A5"/>
    <w:rsid w:val="EEDC3172"/>
    <w:rsid w:val="EEEF5FF5"/>
    <w:rsid w:val="EF8D56DC"/>
    <w:rsid w:val="EF9C15D6"/>
    <w:rsid w:val="EFAFC9B4"/>
    <w:rsid w:val="EFBF70DA"/>
    <w:rsid w:val="F27799EC"/>
    <w:rsid w:val="F38D895D"/>
    <w:rsid w:val="F5BF1CCB"/>
    <w:rsid w:val="F75EA713"/>
    <w:rsid w:val="F7790E65"/>
    <w:rsid w:val="F7EB00B9"/>
    <w:rsid w:val="F7EDF046"/>
    <w:rsid w:val="F7FFABA6"/>
    <w:rsid w:val="F8ED6221"/>
    <w:rsid w:val="F8FE4885"/>
    <w:rsid w:val="F9FF375F"/>
    <w:rsid w:val="FA5DA317"/>
    <w:rsid w:val="FAF76293"/>
    <w:rsid w:val="FAFFC841"/>
    <w:rsid w:val="FB3BD7B7"/>
    <w:rsid w:val="FB3F012D"/>
    <w:rsid w:val="FB6E079A"/>
    <w:rsid w:val="FB7E255A"/>
    <w:rsid w:val="FBE68FCF"/>
    <w:rsid w:val="FBFAD4F5"/>
    <w:rsid w:val="FD719D5E"/>
    <w:rsid w:val="FD770560"/>
    <w:rsid w:val="FDABA8D4"/>
    <w:rsid w:val="FDBB64F3"/>
    <w:rsid w:val="FDC9931E"/>
    <w:rsid w:val="FDEB0E89"/>
    <w:rsid w:val="FDFD58D1"/>
    <w:rsid w:val="FE734873"/>
    <w:rsid w:val="FEB8969B"/>
    <w:rsid w:val="FEF9B9E3"/>
    <w:rsid w:val="FEFF6B57"/>
    <w:rsid w:val="FF1B13D8"/>
    <w:rsid w:val="FF4640D1"/>
    <w:rsid w:val="FF5F68C8"/>
    <w:rsid w:val="FF79DD9D"/>
    <w:rsid w:val="FF7E9715"/>
    <w:rsid w:val="FFBF133E"/>
    <w:rsid w:val="FFDA963F"/>
    <w:rsid w:val="FFDC6FE9"/>
    <w:rsid w:val="FFDEC704"/>
    <w:rsid w:val="FFEB9F26"/>
    <w:rsid w:val="FFEF2A78"/>
    <w:rsid w:val="FFF5EF5B"/>
    <w:rsid w:val="FFFB9C57"/>
    <w:rsid w:val="FFFF0382"/>
    <w:rsid w:val="FFFF9337"/>
    <w:rsid w:val="FFFFE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33"/>
    <w:qFormat/>
    <w:uiPriority w:val="9"/>
    <w:pPr>
      <w:keepNext/>
      <w:keepLines/>
      <w:spacing w:before="340" w:after="330" w:line="578" w:lineRule="auto"/>
      <w:outlineLvl w:val="0"/>
    </w:pPr>
    <w:rPr>
      <w:bCs/>
      <w:kern w:val="44"/>
      <w:sz w:val="44"/>
      <w:szCs w:val="44"/>
    </w:rPr>
  </w:style>
  <w:style w:type="paragraph" w:styleId="5">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0">
    <w:name w:val="Default Paragraph Font"/>
    <w:semiHidden/>
    <w:unhideWhenUsed/>
    <w:qFormat/>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pPr>
      <w:jc w:val="left"/>
    </w:pPr>
    <w:rPr>
      <w:rFonts w:ascii="Times New Roman" w:hAnsi="Times New Roman" w:eastAsia="仿宋_GB2312"/>
      <w:sz w:val="32"/>
    </w:rPr>
  </w:style>
  <w:style w:type="paragraph" w:styleId="4">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styleId="6">
    <w:name w:val="annotation subject"/>
    <w:basedOn w:val="7"/>
    <w:next w:val="7"/>
    <w:link w:val="44"/>
    <w:semiHidden/>
    <w:unhideWhenUsed/>
    <w:qFormat/>
    <w:uiPriority w:val="99"/>
    <w:rPr>
      <w:b/>
      <w:bCs/>
    </w:rPr>
  </w:style>
  <w:style w:type="paragraph" w:styleId="7">
    <w:name w:val="annotation text"/>
    <w:basedOn w:val="1"/>
    <w:link w:val="43"/>
    <w:semiHidden/>
    <w:unhideWhenUsed/>
    <w:qFormat/>
    <w:uiPriority w:val="99"/>
    <w:pPr>
      <w:jc w:val="left"/>
    </w:pPr>
  </w:style>
  <w:style w:type="paragraph" w:styleId="8">
    <w:name w:val="Body Text"/>
    <w:basedOn w:val="1"/>
    <w:next w:val="1"/>
    <w:link w:val="41"/>
    <w:qFormat/>
    <w:uiPriority w:val="0"/>
    <w:pPr>
      <w:spacing w:after="120" w:line="570" w:lineRule="exact"/>
    </w:pPr>
    <w:rPr>
      <w:rFonts w:ascii="Calibri" w:hAnsi="Calibri" w:eastAsia="方正仿宋_GBK" w:cs="Times New Roman"/>
      <w:sz w:val="24"/>
      <w:szCs w:val="24"/>
    </w:rPr>
  </w:style>
  <w:style w:type="paragraph" w:styleId="9">
    <w:name w:val="toc 3"/>
    <w:basedOn w:val="1"/>
    <w:next w:val="1"/>
    <w:unhideWhenUsed/>
    <w:qFormat/>
    <w:uiPriority w:val="39"/>
    <w:pPr>
      <w:widowControl/>
      <w:spacing w:after="100" w:line="259" w:lineRule="auto"/>
      <w:ind w:left="440"/>
      <w:jc w:val="left"/>
    </w:pPr>
    <w:rPr>
      <w:rFonts w:cs="Times New Roman"/>
      <w:kern w:val="0"/>
      <w:sz w:val="22"/>
    </w:rPr>
  </w:style>
  <w:style w:type="paragraph" w:styleId="10">
    <w:name w:val="Plain Text"/>
    <w:basedOn w:val="1"/>
    <w:link w:val="42"/>
    <w:qFormat/>
    <w:uiPriority w:val="0"/>
    <w:pPr>
      <w:widowControl/>
      <w:spacing w:line="600" w:lineRule="exact"/>
      <w:ind w:firstLine="880" w:firstLineChars="200"/>
    </w:pPr>
    <w:rPr>
      <w:rFonts w:ascii="宋体" w:hAnsi="Courier New" w:eastAsia="仿宋_GB2312" w:cs="Times New Roman"/>
      <w:kern w:val="0"/>
      <w:sz w:val="32"/>
      <w:szCs w:val="21"/>
    </w:rPr>
  </w:style>
  <w:style w:type="paragraph" w:styleId="11">
    <w:name w:val="Date"/>
    <w:basedOn w:val="1"/>
    <w:next w:val="1"/>
    <w:link w:val="46"/>
    <w:semiHidden/>
    <w:unhideWhenUsed/>
    <w:qFormat/>
    <w:uiPriority w:val="99"/>
    <w:pPr>
      <w:ind w:left="100" w:leftChars="2500"/>
    </w:pPr>
  </w:style>
  <w:style w:type="paragraph" w:styleId="12">
    <w:name w:val="endnote text"/>
    <w:basedOn w:val="1"/>
    <w:link w:val="47"/>
    <w:semiHidden/>
    <w:unhideWhenUsed/>
    <w:qFormat/>
    <w:uiPriority w:val="99"/>
    <w:pPr>
      <w:snapToGrid w:val="0"/>
      <w:jc w:val="left"/>
    </w:pPr>
  </w:style>
  <w:style w:type="paragraph" w:styleId="13">
    <w:name w:val="footer"/>
    <w:basedOn w:val="1"/>
    <w:link w:val="30"/>
    <w:unhideWhenUsed/>
    <w:qFormat/>
    <w:uiPriority w:val="99"/>
    <w:pPr>
      <w:tabs>
        <w:tab w:val="center" w:pos="4153"/>
        <w:tab w:val="right" w:pos="8306"/>
      </w:tabs>
      <w:snapToGrid w:val="0"/>
      <w:jc w:val="left"/>
    </w:pPr>
    <w:rPr>
      <w:sz w:val="18"/>
      <w:szCs w:val="18"/>
    </w:rPr>
  </w:style>
  <w:style w:type="paragraph" w:styleId="14">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widowControl/>
      <w:spacing w:after="100" w:line="259" w:lineRule="auto"/>
      <w:jc w:val="left"/>
    </w:pPr>
    <w:rPr>
      <w:rFonts w:cs="Times New Roman"/>
      <w:kern w:val="0"/>
      <w:sz w:val="22"/>
    </w:rPr>
  </w:style>
  <w:style w:type="paragraph" w:styleId="16">
    <w:name w:val="footnote text"/>
    <w:basedOn w:val="1"/>
    <w:link w:val="48"/>
    <w:semiHidden/>
    <w:unhideWhenUsed/>
    <w:qFormat/>
    <w:uiPriority w:val="99"/>
    <w:pPr>
      <w:snapToGrid w:val="0"/>
      <w:jc w:val="left"/>
    </w:pPr>
    <w:rPr>
      <w:sz w:val="18"/>
      <w:szCs w:val="18"/>
    </w:rPr>
  </w:style>
  <w:style w:type="paragraph" w:styleId="17">
    <w:name w:val="toc 2"/>
    <w:basedOn w:val="1"/>
    <w:next w:val="1"/>
    <w:unhideWhenUsed/>
    <w:qFormat/>
    <w:uiPriority w:val="39"/>
    <w:pPr>
      <w:widowControl/>
      <w:spacing w:after="100" w:line="259" w:lineRule="auto"/>
      <w:ind w:left="220"/>
      <w:jc w:val="left"/>
    </w:pPr>
    <w:rPr>
      <w:rFonts w:cs="Times New Roman"/>
      <w:kern w:val="0"/>
      <w:sz w:val="22"/>
    </w:rPr>
  </w:style>
  <w:style w:type="paragraph" w:styleId="1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21">
    <w:name w:val="Strong"/>
    <w:basedOn w:val="20"/>
    <w:qFormat/>
    <w:uiPriority w:val="22"/>
    <w:rPr>
      <w:b/>
      <w:bCs/>
    </w:rPr>
  </w:style>
  <w:style w:type="character" w:styleId="22">
    <w:name w:val="endnote reference"/>
    <w:basedOn w:val="20"/>
    <w:semiHidden/>
    <w:unhideWhenUsed/>
    <w:qFormat/>
    <w:uiPriority w:val="99"/>
    <w:rPr>
      <w:vertAlign w:val="superscript"/>
    </w:rPr>
  </w:style>
  <w:style w:type="character" w:styleId="23">
    <w:name w:val="FollowedHyperlink"/>
    <w:basedOn w:val="20"/>
    <w:semiHidden/>
    <w:unhideWhenUsed/>
    <w:qFormat/>
    <w:uiPriority w:val="99"/>
    <w:rPr>
      <w:color w:val="954F72" w:themeColor="followedHyperlink"/>
      <w:u w:val="single"/>
      <w14:textFill>
        <w14:solidFill>
          <w14:schemeClr w14:val="folHlink"/>
        </w14:solidFill>
      </w14:textFill>
    </w:rPr>
  </w:style>
  <w:style w:type="character" w:styleId="24">
    <w:name w:val="Hyperlink"/>
    <w:basedOn w:val="20"/>
    <w:unhideWhenUsed/>
    <w:qFormat/>
    <w:uiPriority w:val="99"/>
    <w:rPr>
      <w:color w:val="0563C1" w:themeColor="hyperlink"/>
      <w:u w:val="single"/>
      <w14:textFill>
        <w14:solidFill>
          <w14:schemeClr w14:val="hlink"/>
        </w14:solidFill>
      </w14:textFill>
    </w:rPr>
  </w:style>
  <w:style w:type="character" w:styleId="25">
    <w:name w:val="annotation reference"/>
    <w:basedOn w:val="20"/>
    <w:semiHidden/>
    <w:unhideWhenUsed/>
    <w:qFormat/>
    <w:uiPriority w:val="99"/>
    <w:rPr>
      <w:sz w:val="21"/>
      <w:szCs w:val="21"/>
    </w:rPr>
  </w:style>
  <w:style w:type="character" w:styleId="26">
    <w:name w:val="footnote reference"/>
    <w:basedOn w:val="20"/>
    <w:semiHidden/>
    <w:unhideWhenUsed/>
    <w:qFormat/>
    <w:uiPriority w:val="99"/>
    <w:rPr>
      <w:vertAlign w:val="superscript"/>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9">
    <w:name w:val="页眉 字符"/>
    <w:basedOn w:val="20"/>
    <w:link w:val="14"/>
    <w:qFormat/>
    <w:uiPriority w:val="99"/>
    <w:rPr>
      <w:sz w:val="18"/>
      <w:szCs w:val="18"/>
    </w:rPr>
  </w:style>
  <w:style w:type="character" w:customStyle="1" w:styleId="30">
    <w:name w:val="页脚 字符"/>
    <w:basedOn w:val="20"/>
    <w:link w:val="13"/>
    <w:qFormat/>
    <w:uiPriority w:val="99"/>
    <w:rPr>
      <w:sz w:val="18"/>
      <w:szCs w:val="18"/>
    </w:rPr>
  </w:style>
  <w:style w:type="paragraph" w:styleId="31">
    <w:name w:val="List Paragraph"/>
    <w:basedOn w:val="1"/>
    <w:qFormat/>
    <w:uiPriority w:val="34"/>
    <w:pPr>
      <w:ind w:firstLine="420" w:firstLineChars="200"/>
    </w:pPr>
  </w:style>
  <w:style w:type="character" w:customStyle="1" w:styleId="32">
    <w:name w:val="标题 2 字符"/>
    <w:basedOn w:val="20"/>
    <w:link w:val="5"/>
    <w:qFormat/>
    <w:uiPriority w:val="9"/>
    <w:rPr>
      <w:rFonts w:asciiTheme="majorHAnsi" w:hAnsiTheme="majorHAnsi" w:eastAsiaTheme="majorEastAsia" w:cstheme="majorBidi"/>
      <w:b/>
      <w:bCs/>
      <w:sz w:val="32"/>
      <w:szCs w:val="32"/>
    </w:rPr>
  </w:style>
  <w:style w:type="character" w:customStyle="1" w:styleId="33">
    <w:name w:val="标题 1 字符"/>
    <w:basedOn w:val="20"/>
    <w:link w:val="3"/>
    <w:qFormat/>
    <w:uiPriority w:val="9"/>
    <w:rPr>
      <w:b/>
      <w:bCs/>
      <w:kern w:val="44"/>
      <w:sz w:val="44"/>
      <w:szCs w:val="44"/>
    </w:rPr>
  </w:style>
  <w:style w:type="paragraph" w:customStyle="1" w:styleId="34">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5">
    <w:name w:val="sect2title1"/>
    <w:basedOn w:val="20"/>
    <w:qFormat/>
    <w:uiPriority w:val="0"/>
    <w:rPr>
      <w:rFonts w:hint="eastAsia" w:ascii="微软雅黑" w:hAnsi="微软雅黑" w:eastAsia="微软雅黑"/>
      <w:b/>
      <w:bCs/>
      <w:sz w:val="21"/>
      <w:szCs w:val="21"/>
    </w:rPr>
  </w:style>
  <w:style w:type="paragraph" w:customStyle="1" w:styleId="36">
    <w:name w:val="政府公文正文"/>
    <w:basedOn w:val="1"/>
    <w:link w:val="37"/>
    <w:qFormat/>
    <w:uiPriority w:val="0"/>
    <w:pPr>
      <w:widowControl/>
      <w:spacing w:line="580" w:lineRule="exact"/>
      <w:ind w:firstLine="200" w:firstLineChars="200"/>
      <w:jc w:val="left"/>
    </w:pPr>
    <w:rPr>
      <w:rFonts w:ascii="仿宋" w:hAnsi="仿宋" w:eastAsia="仿宋" w:cs="宋体"/>
      <w:kern w:val="0"/>
      <w:sz w:val="32"/>
      <w:szCs w:val="32"/>
    </w:rPr>
  </w:style>
  <w:style w:type="character" w:customStyle="1" w:styleId="37">
    <w:name w:val="政府公文正文 字符"/>
    <w:basedOn w:val="20"/>
    <w:link w:val="36"/>
    <w:qFormat/>
    <w:uiPriority w:val="0"/>
    <w:rPr>
      <w:rFonts w:ascii="仿宋" w:hAnsi="仿宋" w:eastAsia="仿宋" w:cs="宋体"/>
      <w:kern w:val="0"/>
      <w:sz w:val="32"/>
      <w:szCs w:val="32"/>
    </w:rPr>
  </w:style>
  <w:style w:type="paragraph" w:styleId="3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39">
    <w:name w:val="fontstyle01"/>
    <w:basedOn w:val="20"/>
    <w:qFormat/>
    <w:uiPriority w:val="0"/>
    <w:rPr>
      <w:rFonts w:hint="default" w:ascii="Times New Roman" w:hAnsi="Times New Roman" w:cs="Times New Roman"/>
      <w:color w:val="000000"/>
      <w:sz w:val="32"/>
      <w:szCs w:val="32"/>
    </w:rPr>
  </w:style>
  <w:style w:type="character" w:customStyle="1" w:styleId="40">
    <w:name w:val="fontstyle11"/>
    <w:basedOn w:val="20"/>
    <w:qFormat/>
    <w:uiPriority w:val="0"/>
    <w:rPr>
      <w:rFonts w:hint="eastAsia" w:ascii="仿宋_GB2312" w:eastAsia="仿宋_GB2312"/>
      <w:color w:val="000000"/>
      <w:sz w:val="32"/>
      <w:szCs w:val="32"/>
    </w:rPr>
  </w:style>
  <w:style w:type="character" w:customStyle="1" w:styleId="41">
    <w:name w:val="正文文本 字符"/>
    <w:basedOn w:val="20"/>
    <w:link w:val="8"/>
    <w:qFormat/>
    <w:uiPriority w:val="0"/>
    <w:rPr>
      <w:rFonts w:ascii="Calibri" w:hAnsi="Calibri" w:eastAsia="方正仿宋_GBK" w:cs="Times New Roman"/>
      <w:kern w:val="2"/>
      <w:sz w:val="24"/>
      <w:szCs w:val="24"/>
    </w:rPr>
  </w:style>
  <w:style w:type="character" w:customStyle="1" w:styleId="42">
    <w:name w:val="纯文本 字符"/>
    <w:basedOn w:val="20"/>
    <w:link w:val="10"/>
    <w:qFormat/>
    <w:uiPriority w:val="0"/>
    <w:rPr>
      <w:rFonts w:ascii="宋体" w:hAnsi="Courier New" w:eastAsia="仿宋_GB2312" w:cs="Times New Roman"/>
      <w:sz w:val="32"/>
      <w:szCs w:val="21"/>
    </w:rPr>
  </w:style>
  <w:style w:type="character" w:customStyle="1" w:styleId="43">
    <w:name w:val="批注文字 字符"/>
    <w:basedOn w:val="20"/>
    <w:link w:val="7"/>
    <w:semiHidden/>
    <w:qFormat/>
    <w:uiPriority w:val="99"/>
    <w:rPr>
      <w:kern w:val="2"/>
      <w:sz w:val="21"/>
      <w:szCs w:val="22"/>
    </w:rPr>
  </w:style>
  <w:style w:type="character" w:customStyle="1" w:styleId="44">
    <w:name w:val="批注主题 字符"/>
    <w:basedOn w:val="43"/>
    <w:link w:val="6"/>
    <w:semiHidden/>
    <w:qFormat/>
    <w:uiPriority w:val="99"/>
    <w:rPr>
      <w:b/>
      <w:bCs/>
      <w:kern w:val="2"/>
      <w:sz w:val="21"/>
      <w:szCs w:val="22"/>
    </w:rPr>
  </w:style>
  <w:style w:type="paragraph" w:customStyle="1" w:styleId="45">
    <w:name w:val="TOC 标题2"/>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46">
    <w:name w:val="日期 字符"/>
    <w:basedOn w:val="20"/>
    <w:link w:val="11"/>
    <w:semiHidden/>
    <w:qFormat/>
    <w:uiPriority w:val="99"/>
    <w:rPr>
      <w:kern w:val="2"/>
      <w:sz w:val="21"/>
      <w:szCs w:val="22"/>
    </w:rPr>
  </w:style>
  <w:style w:type="character" w:customStyle="1" w:styleId="47">
    <w:name w:val="尾注文本 字符"/>
    <w:basedOn w:val="20"/>
    <w:link w:val="12"/>
    <w:semiHidden/>
    <w:qFormat/>
    <w:uiPriority w:val="99"/>
    <w:rPr>
      <w:kern w:val="2"/>
      <w:sz w:val="21"/>
      <w:szCs w:val="22"/>
    </w:rPr>
  </w:style>
  <w:style w:type="character" w:customStyle="1" w:styleId="48">
    <w:name w:val="脚注文本 字符"/>
    <w:basedOn w:val="20"/>
    <w:link w:val="16"/>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5011</Words>
  <Characters>28565</Characters>
  <Lines>238</Lines>
  <Paragraphs>67</Paragraphs>
  <TotalTime>2</TotalTime>
  <ScaleCrop>false</ScaleCrop>
  <LinksUpToDate>false</LinksUpToDate>
  <CharactersWithSpaces>33509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2021-07-18T09:08:00Z</dcterms:created>
  <dc:creator>xi huang</dc:creator>
  <cp:lastModifiedBy>杨诚</cp:lastModifiedBy>
  <cp:lastPrinted>2021-07-21T01:41:00Z</cp:lastPrinted>
  <dcterms:modified xsi:type="dcterms:W3CDTF">2021-07-21T01:50:55Z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F6334AA0BD59415EAF26F9EDECDF476D</vt:lpwstr>
  </property>
</Properties>
</file>